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0E" w:rsidRPr="006F1D0E" w:rsidRDefault="006F1D0E" w:rsidP="00966892">
      <w:pPr>
        <w:rPr>
          <w:b/>
        </w:rPr>
      </w:pPr>
      <w:r w:rsidRPr="006F1D0E">
        <w:rPr>
          <w:b/>
        </w:rPr>
        <w:t xml:space="preserve">Los Rectores de cinco universidades, junto con cientos de académicos y miembros de la sociedad civil inician el proceso de nacional de construcción de consensos para le ley General de Aguas. </w:t>
      </w:r>
    </w:p>
    <w:p w:rsidR="00540EFF" w:rsidRDefault="006F1D0E" w:rsidP="00966892">
      <w:r>
        <w:t xml:space="preserve">Participantes: </w:t>
      </w:r>
      <w:r>
        <w:t>Dra. Raquel Gut</w:t>
      </w:r>
      <w:r>
        <w:t>iérrez Najera,</w:t>
      </w:r>
      <w:r w:rsidR="00792A36">
        <w:t xml:space="preserve"> </w:t>
      </w:r>
      <w:r>
        <w:t>Universidad Guadalajara;</w:t>
      </w:r>
      <w:r w:rsidR="00792A36">
        <w:t xml:space="preserve"> </w:t>
      </w:r>
      <w:r>
        <w:t xml:space="preserve">Dra. Helena Cotler, Dr. Joel Carrillo y  </w:t>
      </w:r>
      <w:r>
        <w:t>Dr</w:t>
      </w:r>
      <w:r w:rsidR="00792A36">
        <w:t>.</w:t>
      </w:r>
      <w:r>
        <w:t xml:space="preserve"> Omar Arellano de la </w:t>
      </w:r>
      <w:r>
        <w:t>Universidad Nacional Autónoma de México</w:t>
      </w:r>
      <w:r>
        <w:t xml:space="preserve">; </w:t>
      </w:r>
      <w:r w:rsidR="00792A36" w:rsidRPr="00792A36">
        <w:t>Ing. Juan Manuel Fraustro, Dirección de Manejo de Cuencas del Fondo Mexicano para la Conservación de la Naturaleza</w:t>
      </w:r>
      <w:r w:rsidR="00792A36">
        <w:t xml:space="preserve">; </w:t>
      </w:r>
      <w:r>
        <w:t xml:space="preserve">Dra. Norma </w:t>
      </w:r>
      <w:r>
        <w:t xml:space="preserve">Patricia Muñoz Sevilla, </w:t>
      </w:r>
      <w:r>
        <w:t>Red de Medio Ambiente del</w:t>
      </w:r>
      <w:r w:rsidR="00792A36">
        <w:t xml:space="preserve"> Instituto Politécnico Nacional</w:t>
      </w:r>
      <w:r>
        <w:t>; Dr. David Hall, Public Services International Research Unit, Gran Bretaña;</w:t>
      </w:r>
      <w:r w:rsidRPr="006F1D0E">
        <w:t xml:space="preserve"> Dr. Pedro Moctezuma Barragán, Universidad Autónoma Metropolitana;</w:t>
      </w:r>
    </w:p>
    <w:p w:rsidR="006F1D0E" w:rsidRDefault="006F1D0E" w:rsidP="006F1D0E">
      <w:r>
        <w:t>La reforma constitucional exigiendo la equidad, la sustentabilidad y la participación en la gestión del agua, implica generar un nuevo marco legal-institucional, así como la voluntad política necesaria para cambiar los actuales modelos de toma de decisiones y manejo y del agua en el país.</w:t>
      </w:r>
    </w:p>
    <w:p w:rsidR="006F1D0E" w:rsidRDefault="006F1D0E" w:rsidP="006F1D0E">
      <w:r>
        <w:t xml:space="preserve">En febrero 2012, investigadores integrantes de varias redes nacionales formamos 10 mesas temáticas de trabajo, para elaborar una propuesta ciudadana de Ley General de Aguas. Nuestros trabajos fueron presentados y enriquecidos en el primer Congreso “Ciudadanos y la Sustentabilidad del Agua” celebrado en Rectoría General de la UAM en diciembre 2012, para luego ser afinados en más de 50 talleres y foros en todo el país, y finalmente ratificados en el 2º Congreso Ciudadano realizado en la Universidad de Guadalajara en octubre 2014.  Este proceso fue acompañado por la recolección de firmas requeridas para su presentación como Iniciativa Ciudadana. El 9 febrero 2015, la Iniciativa fue presentada  a Legisladores diversos de ambas cámaras en un acto público de entrega-recepción.  El 23 de febrero la iniciativa fue publicada en la Gaceta del Senado, contando con las firmas de 22 Senadores de 4 partidos. </w:t>
      </w:r>
    </w:p>
    <w:p w:rsidR="006F1D0E" w:rsidRDefault="00792A36" w:rsidP="006F1D0E">
      <w:r>
        <w:t>El 15 de marzo de 2015,</w:t>
      </w:r>
      <w:r w:rsidR="006F1D0E">
        <w:t xml:space="preserve"> los rectores de la UNAM, la UAM y la Universidad de Guadalajara llamaron a abrir un debate incluyente y plural, por ello académicos de todo el país hemos organizado junto con miembros de la sociedad civil éste nuevo ciclo.</w:t>
      </w:r>
    </w:p>
    <w:p w:rsidR="006F1D0E" w:rsidRDefault="006F1D0E" w:rsidP="006F1D0E">
      <w:r>
        <w:t>Hoy, el 3 de noviembre de 2015, se inaugura el Proceso Nacional de Construcción de Consensos para la Ley General de Aguas, para seguir profundizando este amplio trabajo de diseño colectivo de la ley de aguas que México necesita.</w:t>
      </w:r>
    </w:p>
    <w:p w:rsidR="006F1D0E" w:rsidRDefault="006F1D0E" w:rsidP="006F1D0E">
      <w:pPr>
        <w:spacing w:after="0" w:line="240" w:lineRule="auto"/>
      </w:pPr>
      <w:r>
        <w:t>Se están proponiendo los siguientes ejes, para contribuir a definir elementos clave para la elaboración de la Ley General de Aguas Ciudadana, integrando los resolutivos de los distintos Foros.</w:t>
      </w:r>
    </w:p>
    <w:p w:rsidR="006F1D0E" w:rsidRDefault="006F1D0E" w:rsidP="006F1D0E">
      <w:pPr>
        <w:spacing w:after="0" w:line="240" w:lineRule="auto"/>
      </w:pPr>
      <w:r>
        <w:t>1.</w:t>
      </w:r>
      <w:r>
        <w:tab/>
        <w:t>Sistemas metropolitanos de agua y saneamiento</w:t>
      </w:r>
    </w:p>
    <w:p w:rsidR="006F1D0E" w:rsidRDefault="006F1D0E" w:rsidP="006F1D0E">
      <w:pPr>
        <w:spacing w:after="0" w:line="240" w:lineRule="auto"/>
      </w:pPr>
      <w:r>
        <w:t>2.</w:t>
      </w:r>
      <w:r>
        <w:tab/>
        <w:t>Gest</w:t>
      </w:r>
      <w:bookmarkStart w:id="0" w:name="_GoBack"/>
      <w:bookmarkEnd w:id="0"/>
      <w:r>
        <w:t>ión planificada de cuencas y sus ecosistemas</w:t>
      </w:r>
    </w:p>
    <w:p w:rsidR="006F1D0E" w:rsidRDefault="006F1D0E" w:rsidP="006F1D0E">
      <w:pPr>
        <w:spacing w:after="0" w:line="240" w:lineRule="auto"/>
      </w:pPr>
      <w:r>
        <w:t>3.</w:t>
      </w:r>
      <w:r>
        <w:tab/>
        <w:t>Gestión sustentable de aguas subterráneas</w:t>
      </w:r>
    </w:p>
    <w:p w:rsidR="006F1D0E" w:rsidRDefault="006F1D0E" w:rsidP="006F1D0E">
      <w:pPr>
        <w:spacing w:after="0" w:line="240" w:lineRule="auto"/>
      </w:pPr>
      <w:r>
        <w:t>4.</w:t>
      </w:r>
      <w:r>
        <w:tab/>
        <w:t>Soberanía hídrico alimentaria</w:t>
      </w:r>
    </w:p>
    <w:p w:rsidR="006F1D0E" w:rsidRDefault="006F1D0E" w:rsidP="006F1D0E">
      <w:pPr>
        <w:spacing w:after="0" w:line="240" w:lineRule="auto"/>
      </w:pPr>
      <w:r>
        <w:t>6.</w:t>
      </w:r>
      <w:r>
        <w:tab/>
        <w:t>Sistema de asignación de aguas nacionales</w:t>
      </w:r>
    </w:p>
    <w:p w:rsidR="006F1D0E" w:rsidRDefault="006F1D0E" w:rsidP="006F1D0E">
      <w:pPr>
        <w:spacing w:after="0" w:line="240" w:lineRule="auto"/>
      </w:pPr>
      <w:r>
        <w:t>7.</w:t>
      </w:r>
      <w:r>
        <w:tab/>
        <w:t>Pueblos originarios</w:t>
      </w:r>
    </w:p>
    <w:p w:rsidR="006F1D0E" w:rsidRDefault="006F1D0E" w:rsidP="006F1D0E">
      <w:pPr>
        <w:spacing w:after="0" w:line="240" w:lineRule="auto"/>
      </w:pPr>
      <w:r>
        <w:t>8.</w:t>
      </w:r>
      <w:r>
        <w:tab/>
        <w:t>Cuencas trasnacionales</w:t>
      </w:r>
    </w:p>
    <w:p w:rsidR="006F1D0E" w:rsidRDefault="006F1D0E" w:rsidP="006F1D0E">
      <w:pPr>
        <w:spacing w:after="0" w:line="240" w:lineRule="auto"/>
      </w:pPr>
      <w:r>
        <w:t>3.</w:t>
      </w:r>
      <w:r>
        <w:tab/>
        <w:t>Medidas para poner fin a la contaminación del agua</w:t>
      </w:r>
    </w:p>
    <w:p w:rsidR="006F1D0E" w:rsidRDefault="006F1D0E" w:rsidP="006F1D0E">
      <w:pPr>
        <w:spacing w:after="0" w:line="240" w:lineRule="auto"/>
      </w:pPr>
      <w:r>
        <w:t>9.</w:t>
      </w:r>
      <w:r>
        <w:tab/>
        <w:t>Marco legal institucional para la vigilancia monitoreo, contraloría  y sanción</w:t>
      </w:r>
    </w:p>
    <w:p w:rsidR="006F1D0E" w:rsidRDefault="006F1D0E" w:rsidP="006F1D0E">
      <w:pPr>
        <w:spacing w:after="0" w:line="240" w:lineRule="auto"/>
      </w:pPr>
      <w:r>
        <w:t>10.</w:t>
      </w:r>
      <w:r>
        <w:tab/>
        <w:t>Educación y cultura para la gestión integral del agua</w:t>
      </w:r>
    </w:p>
    <w:p w:rsidR="006F1D0E" w:rsidRDefault="006F1D0E" w:rsidP="00540EFF">
      <w:pPr>
        <w:spacing w:line="240" w:lineRule="auto"/>
        <w:jc w:val="center"/>
      </w:pPr>
    </w:p>
    <w:p w:rsidR="006F1D0E" w:rsidRDefault="006F1D0E" w:rsidP="00540EFF">
      <w:pPr>
        <w:spacing w:line="240" w:lineRule="auto"/>
        <w:jc w:val="center"/>
      </w:pPr>
    </w:p>
    <w:p w:rsidR="006F1D0E" w:rsidRDefault="006F1D0E" w:rsidP="00540EFF">
      <w:pPr>
        <w:spacing w:line="240" w:lineRule="auto"/>
        <w:jc w:val="center"/>
      </w:pPr>
    </w:p>
    <w:p w:rsidR="006F1D0E" w:rsidRDefault="006F1D0E" w:rsidP="00540EFF">
      <w:pPr>
        <w:spacing w:line="240" w:lineRule="auto"/>
        <w:jc w:val="center"/>
      </w:pPr>
    </w:p>
    <w:p w:rsidR="00EB37C8" w:rsidRPr="00C84349" w:rsidRDefault="00390EFA" w:rsidP="00540EFF">
      <w:pPr>
        <w:spacing w:line="240" w:lineRule="auto"/>
        <w:jc w:val="center"/>
        <w:rPr>
          <w:b/>
        </w:rPr>
      </w:pPr>
      <w:r w:rsidRPr="00C84349">
        <w:rPr>
          <w:b/>
        </w:rPr>
        <w:t xml:space="preserve">Eventos </w:t>
      </w:r>
      <w:r w:rsidR="00951129" w:rsidRPr="00C84349">
        <w:rPr>
          <w:b/>
        </w:rPr>
        <w:t xml:space="preserve">programados </w:t>
      </w:r>
      <w:r w:rsidR="006F1D0E">
        <w:rPr>
          <w:b/>
        </w:rPr>
        <w:t xml:space="preserve">inicialmente para el Proceso Nacional de Construcción de Consensos </w:t>
      </w:r>
    </w:p>
    <w:tbl>
      <w:tblPr>
        <w:tblStyle w:val="Tablaconcuadrcula"/>
        <w:tblW w:w="9870" w:type="dxa"/>
        <w:tblLook w:val="04A0" w:firstRow="1" w:lastRow="0" w:firstColumn="1" w:lastColumn="0" w:noHBand="0" w:noVBand="1"/>
      </w:tblPr>
      <w:tblGrid>
        <w:gridCol w:w="4106"/>
        <w:gridCol w:w="1843"/>
        <w:gridCol w:w="1481"/>
        <w:gridCol w:w="2440"/>
      </w:tblGrid>
      <w:tr w:rsidR="008918FD" w:rsidTr="00792A36">
        <w:tc>
          <w:tcPr>
            <w:tcW w:w="4106" w:type="dxa"/>
          </w:tcPr>
          <w:p w:rsidR="00AA2580" w:rsidRPr="0067223B" w:rsidRDefault="00AA2580" w:rsidP="00540EFF">
            <w:pPr>
              <w:rPr>
                <w:b/>
                <w:sz w:val="24"/>
              </w:rPr>
            </w:pPr>
            <w:r w:rsidRPr="0067223B">
              <w:rPr>
                <w:b/>
                <w:sz w:val="24"/>
              </w:rPr>
              <w:t>Foro</w:t>
            </w:r>
          </w:p>
          <w:p w:rsidR="005B4D7B" w:rsidRPr="0067223B" w:rsidRDefault="005B4D7B" w:rsidP="00540EFF">
            <w:pPr>
              <w:rPr>
                <w:b/>
                <w:sz w:val="24"/>
              </w:rPr>
            </w:pPr>
          </w:p>
        </w:tc>
        <w:tc>
          <w:tcPr>
            <w:tcW w:w="1843" w:type="dxa"/>
          </w:tcPr>
          <w:p w:rsidR="00AA2580" w:rsidRPr="0067223B" w:rsidRDefault="00AA2580" w:rsidP="00540EFF">
            <w:pPr>
              <w:rPr>
                <w:b/>
                <w:sz w:val="24"/>
              </w:rPr>
            </w:pPr>
            <w:r w:rsidRPr="0067223B">
              <w:rPr>
                <w:b/>
                <w:sz w:val="24"/>
              </w:rPr>
              <w:t>Fechas</w:t>
            </w:r>
          </w:p>
        </w:tc>
        <w:tc>
          <w:tcPr>
            <w:tcW w:w="1481" w:type="dxa"/>
          </w:tcPr>
          <w:p w:rsidR="00AA2580" w:rsidRPr="0067223B" w:rsidRDefault="00AA2580" w:rsidP="00540EFF">
            <w:pPr>
              <w:rPr>
                <w:b/>
                <w:sz w:val="24"/>
              </w:rPr>
            </w:pPr>
            <w:r w:rsidRPr="0067223B">
              <w:rPr>
                <w:b/>
                <w:sz w:val="24"/>
              </w:rPr>
              <w:t>Ciudad</w:t>
            </w:r>
          </w:p>
        </w:tc>
        <w:tc>
          <w:tcPr>
            <w:tcW w:w="2440" w:type="dxa"/>
          </w:tcPr>
          <w:p w:rsidR="00AA2580" w:rsidRPr="0067223B" w:rsidRDefault="00A86AA3" w:rsidP="00540EFF">
            <w:pPr>
              <w:rPr>
                <w:b/>
                <w:sz w:val="24"/>
              </w:rPr>
            </w:pPr>
            <w:r w:rsidRPr="0067223B">
              <w:rPr>
                <w:b/>
                <w:sz w:val="24"/>
              </w:rPr>
              <w:t>Sede</w:t>
            </w:r>
          </w:p>
        </w:tc>
      </w:tr>
      <w:tr w:rsidR="008918FD" w:rsidTr="00792A36">
        <w:tc>
          <w:tcPr>
            <w:tcW w:w="4106" w:type="dxa"/>
          </w:tcPr>
          <w:p w:rsidR="00AA2580" w:rsidRDefault="00AA2580" w:rsidP="00540EFF">
            <w:r>
              <w:t xml:space="preserve">Retos y Propuestas para cumplir con el derecho humano al agua en las metrópolis </w:t>
            </w:r>
          </w:p>
        </w:tc>
        <w:tc>
          <w:tcPr>
            <w:tcW w:w="1843" w:type="dxa"/>
          </w:tcPr>
          <w:p w:rsidR="00AA2580" w:rsidRDefault="00AA2580" w:rsidP="00540EFF">
            <w:r>
              <w:t>3 y 4 de noviembre</w:t>
            </w:r>
          </w:p>
        </w:tc>
        <w:tc>
          <w:tcPr>
            <w:tcW w:w="1481" w:type="dxa"/>
          </w:tcPr>
          <w:p w:rsidR="00AA2580" w:rsidRDefault="00AA2580" w:rsidP="00540EFF">
            <w:r>
              <w:t>México</w:t>
            </w:r>
          </w:p>
        </w:tc>
        <w:tc>
          <w:tcPr>
            <w:tcW w:w="2440" w:type="dxa"/>
          </w:tcPr>
          <w:p w:rsidR="00AA2580" w:rsidRDefault="00AA2580" w:rsidP="00540EFF">
            <w:r>
              <w:t>U</w:t>
            </w:r>
            <w:r w:rsidR="00A86AA3">
              <w:t xml:space="preserve">niversidad </w:t>
            </w:r>
            <w:r>
              <w:t>A</w:t>
            </w:r>
            <w:r w:rsidR="00A86AA3">
              <w:t xml:space="preserve">utónoma </w:t>
            </w:r>
            <w:r>
              <w:t>M</w:t>
            </w:r>
            <w:r w:rsidR="00A86AA3">
              <w:t>etropolitana</w:t>
            </w:r>
          </w:p>
        </w:tc>
      </w:tr>
      <w:tr w:rsidR="008918FD" w:rsidTr="00792A36">
        <w:tc>
          <w:tcPr>
            <w:tcW w:w="4106" w:type="dxa"/>
          </w:tcPr>
          <w:p w:rsidR="00AA2580" w:rsidRDefault="00AA2580" w:rsidP="00540EFF">
            <w:r>
              <w:t>El fracaso de la privatización de los servicios públicos y la defensa ciudadana del agua</w:t>
            </w:r>
          </w:p>
        </w:tc>
        <w:tc>
          <w:tcPr>
            <w:tcW w:w="1843" w:type="dxa"/>
          </w:tcPr>
          <w:p w:rsidR="00AA2580" w:rsidRDefault="00AA2580" w:rsidP="00540EFF">
            <w:r>
              <w:t xml:space="preserve">5 de noviembre </w:t>
            </w:r>
          </w:p>
        </w:tc>
        <w:tc>
          <w:tcPr>
            <w:tcW w:w="1481" w:type="dxa"/>
          </w:tcPr>
          <w:p w:rsidR="00AA2580" w:rsidRDefault="00A86AA3" w:rsidP="00540EFF">
            <w:r>
              <w:t>Puebla, Puebla</w:t>
            </w:r>
          </w:p>
        </w:tc>
        <w:tc>
          <w:tcPr>
            <w:tcW w:w="2440" w:type="dxa"/>
          </w:tcPr>
          <w:p w:rsidR="00AA2580" w:rsidRDefault="00A86AA3" w:rsidP="00540EFF">
            <w:r>
              <w:t>Benemérita Universidad Autónoma de Puebla</w:t>
            </w:r>
          </w:p>
        </w:tc>
      </w:tr>
      <w:tr w:rsidR="00A77AE5" w:rsidTr="00792A36">
        <w:tc>
          <w:tcPr>
            <w:tcW w:w="4106" w:type="dxa"/>
          </w:tcPr>
          <w:p w:rsidR="00A77AE5" w:rsidRDefault="00A77AE5" w:rsidP="00540EFF">
            <w:r w:rsidRPr="00A77AE5">
              <w:t>Retos enfrentados por los sistemas de agua potable y saneamiento remunicipalizados</w:t>
            </w:r>
          </w:p>
        </w:tc>
        <w:tc>
          <w:tcPr>
            <w:tcW w:w="1843" w:type="dxa"/>
          </w:tcPr>
          <w:p w:rsidR="00A77AE5" w:rsidRDefault="00A77AE5" w:rsidP="00540EFF">
            <w:r>
              <w:t>7 de noviembre</w:t>
            </w:r>
          </w:p>
        </w:tc>
        <w:tc>
          <w:tcPr>
            <w:tcW w:w="1481" w:type="dxa"/>
          </w:tcPr>
          <w:p w:rsidR="00A77AE5" w:rsidRDefault="00A77AE5" w:rsidP="00540EFF">
            <w:r>
              <w:t>Ramos Arizpe, Coahuila</w:t>
            </w:r>
          </w:p>
        </w:tc>
        <w:tc>
          <w:tcPr>
            <w:tcW w:w="2440" w:type="dxa"/>
          </w:tcPr>
          <w:p w:rsidR="00A77AE5" w:rsidRDefault="00A77AE5" w:rsidP="00540EFF">
            <w:r>
              <w:t>Gobierno Municipal de Ramos Arizpe</w:t>
            </w:r>
          </w:p>
        </w:tc>
      </w:tr>
      <w:tr w:rsidR="008918FD" w:rsidTr="00792A36">
        <w:tc>
          <w:tcPr>
            <w:tcW w:w="4106" w:type="dxa"/>
          </w:tcPr>
          <w:p w:rsidR="00A86AA3" w:rsidRDefault="00A86AA3" w:rsidP="00540EFF">
            <w:r w:rsidRPr="00A86AA3">
              <w:t>La importancia de los sistemas comunitarios de agua ante la privatización</w:t>
            </w:r>
          </w:p>
        </w:tc>
        <w:tc>
          <w:tcPr>
            <w:tcW w:w="1843" w:type="dxa"/>
          </w:tcPr>
          <w:p w:rsidR="00A86AA3" w:rsidRDefault="00A86AA3" w:rsidP="00540EFF">
            <w:r>
              <w:t>14 de noviembre</w:t>
            </w:r>
          </w:p>
        </w:tc>
        <w:tc>
          <w:tcPr>
            <w:tcW w:w="1481" w:type="dxa"/>
          </w:tcPr>
          <w:p w:rsidR="00A86AA3" w:rsidRDefault="008918FD" w:rsidP="00540EFF">
            <w:r>
              <w:t>Tecá</w:t>
            </w:r>
            <w:r w:rsidR="00F40FFC">
              <w:t>mac, E</w:t>
            </w:r>
            <w:r w:rsidR="00357DBA">
              <w:t>do de México</w:t>
            </w:r>
          </w:p>
        </w:tc>
        <w:tc>
          <w:tcPr>
            <w:tcW w:w="2440" w:type="dxa"/>
          </w:tcPr>
          <w:p w:rsidR="00A86AA3" w:rsidRDefault="00A86AA3" w:rsidP="00540EFF">
            <w:r>
              <w:t>Sistema</w:t>
            </w:r>
            <w:r w:rsidR="00A77AE5">
              <w:t xml:space="preserve"> Comunitario de Tecamac</w:t>
            </w:r>
          </w:p>
        </w:tc>
      </w:tr>
      <w:tr w:rsidR="008918FD" w:rsidTr="00792A36">
        <w:trPr>
          <w:trHeight w:val="487"/>
        </w:trPr>
        <w:tc>
          <w:tcPr>
            <w:tcW w:w="4106" w:type="dxa"/>
          </w:tcPr>
          <w:p w:rsidR="00AA2580" w:rsidRDefault="001A50EB" w:rsidP="00540EFF">
            <w:r>
              <w:t>S</w:t>
            </w:r>
            <w:r w:rsidR="00AA2580">
              <w:t xml:space="preserve">oberanía </w:t>
            </w:r>
            <w:r>
              <w:t xml:space="preserve">hídrico </w:t>
            </w:r>
            <w:r w:rsidR="00AA2580">
              <w:t>alimentaria</w:t>
            </w:r>
          </w:p>
        </w:tc>
        <w:tc>
          <w:tcPr>
            <w:tcW w:w="1843" w:type="dxa"/>
          </w:tcPr>
          <w:p w:rsidR="00AA2580" w:rsidRDefault="00AA2580" w:rsidP="00540EFF">
            <w:r>
              <w:t>17 de noviembre</w:t>
            </w:r>
          </w:p>
        </w:tc>
        <w:tc>
          <w:tcPr>
            <w:tcW w:w="1481" w:type="dxa"/>
          </w:tcPr>
          <w:p w:rsidR="00AA2580" w:rsidRDefault="00A86AA3" w:rsidP="00540EFF">
            <w:r>
              <w:t>Texcoco, Edo Mé</w:t>
            </w:r>
            <w:r w:rsidR="00AA2580">
              <w:t>x</w:t>
            </w:r>
            <w:r>
              <w:t>ico</w:t>
            </w:r>
          </w:p>
        </w:tc>
        <w:tc>
          <w:tcPr>
            <w:tcW w:w="2440" w:type="dxa"/>
          </w:tcPr>
          <w:p w:rsidR="00AA2580" w:rsidRDefault="00AA2580" w:rsidP="00540EFF">
            <w:r>
              <w:t>Universidad Autónoma de Chapingo</w:t>
            </w:r>
          </w:p>
        </w:tc>
      </w:tr>
      <w:tr w:rsidR="008918FD" w:rsidTr="00792A36">
        <w:tc>
          <w:tcPr>
            <w:tcW w:w="4106" w:type="dxa"/>
          </w:tcPr>
          <w:p w:rsidR="00A86AA3" w:rsidRDefault="00CC20B8" w:rsidP="00540EFF">
            <w:r w:rsidRPr="00CC20B8">
              <w:t>Ciudad</w:t>
            </w:r>
            <w:r>
              <w:t>es y aguas subterráneas</w:t>
            </w:r>
            <w:r>
              <w:tab/>
            </w:r>
          </w:p>
        </w:tc>
        <w:tc>
          <w:tcPr>
            <w:tcW w:w="1843" w:type="dxa"/>
          </w:tcPr>
          <w:p w:rsidR="00A86AA3" w:rsidRDefault="00CC20B8" w:rsidP="00540EFF">
            <w:r>
              <w:t>21 de enero de 2016</w:t>
            </w:r>
          </w:p>
        </w:tc>
        <w:tc>
          <w:tcPr>
            <w:tcW w:w="1481" w:type="dxa"/>
          </w:tcPr>
          <w:p w:rsidR="00A86AA3" w:rsidRDefault="00CC20B8" w:rsidP="00540EFF">
            <w:r>
              <w:t>San Luis Potosí</w:t>
            </w:r>
            <w:r>
              <w:tab/>
            </w:r>
          </w:p>
        </w:tc>
        <w:tc>
          <w:tcPr>
            <w:tcW w:w="2440" w:type="dxa"/>
          </w:tcPr>
          <w:p w:rsidR="00A86AA3" w:rsidRDefault="00CC20B8" w:rsidP="00540EFF">
            <w:r w:rsidRPr="00CC20B8">
              <w:t>Colegio de San Luis</w:t>
            </w:r>
          </w:p>
        </w:tc>
      </w:tr>
      <w:tr w:rsidR="008918FD" w:rsidTr="00792A36">
        <w:tc>
          <w:tcPr>
            <w:tcW w:w="4106" w:type="dxa"/>
          </w:tcPr>
          <w:p w:rsidR="00A86AA3" w:rsidRDefault="00562CA1" w:rsidP="00540EFF">
            <w:r>
              <w:t xml:space="preserve">El derecho humano al agua: un análisis de las propuestas de Ley </w:t>
            </w:r>
          </w:p>
        </w:tc>
        <w:tc>
          <w:tcPr>
            <w:tcW w:w="1843" w:type="dxa"/>
          </w:tcPr>
          <w:p w:rsidR="00CC20B8" w:rsidRDefault="00562CA1" w:rsidP="00540EFF">
            <w:r>
              <w:t>2 y 3 de f</w:t>
            </w:r>
            <w:r w:rsidR="00CC20B8">
              <w:t>ebrero de 2016</w:t>
            </w:r>
          </w:p>
        </w:tc>
        <w:tc>
          <w:tcPr>
            <w:tcW w:w="1481" w:type="dxa"/>
          </w:tcPr>
          <w:p w:rsidR="00A86AA3" w:rsidRDefault="00CC20B8" w:rsidP="00540EFF">
            <w:r>
              <w:t>Cd de México</w:t>
            </w:r>
          </w:p>
        </w:tc>
        <w:tc>
          <w:tcPr>
            <w:tcW w:w="2440" w:type="dxa"/>
          </w:tcPr>
          <w:p w:rsidR="00A86AA3" w:rsidRDefault="00CC20B8" w:rsidP="00540EFF">
            <w:r>
              <w:t>Universidad Nacional Autónoma de México</w:t>
            </w:r>
          </w:p>
        </w:tc>
      </w:tr>
      <w:tr w:rsidR="008918FD" w:rsidTr="00792A36">
        <w:tc>
          <w:tcPr>
            <w:tcW w:w="4106" w:type="dxa"/>
          </w:tcPr>
          <w:p w:rsidR="00CB19F2" w:rsidRDefault="00CB19F2" w:rsidP="00540EFF">
            <w:r>
              <w:t xml:space="preserve">Agua y ecosistemas, uso agrícola del agua y agua y minería </w:t>
            </w:r>
          </w:p>
        </w:tc>
        <w:tc>
          <w:tcPr>
            <w:tcW w:w="1843" w:type="dxa"/>
          </w:tcPr>
          <w:p w:rsidR="00CB19F2" w:rsidRDefault="005B4D7B" w:rsidP="00540EFF">
            <w:r>
              <w:t xml:space="preserve">18 y 19 de </w:t>
            </w:r>
            <w:r w:rsidR="00A77AE5">
              <w:t>f</w:t>
            </w:r>
            <w:r w:rsidR="00CB19F2">
              <w:t>ebrero de 2016</w:t>
            </w:r>
          </w:p>
        </w:tc>
        <w:tc>
          <w:tcPr>
            <w:tcW w:w="1481" w:type="dxa"/>
          </w:tcPr>
          <w:p w:rsidR="00CB19F2" w:rsidRDefault="008918FD" w:rsidP="00540EFF">
            <w:r>
              <w:t>Mazatlán Si</w:t>
            </w:r>
            <w:r w:rsidR="00CB19F2">
              <w:t>naloa</w:t>
            </w:r>
          </w:p>
        </w:tc>
        <w:tc>
          <w:tcPr>
            <w:tcW w:w="2440" w:type="dxa"/>
          </w:tcPr>
          <w:p w:rsidR="00CB19F2" w:rsidRDefault="00CB19F2" w:rsidP="00540EFF">
            <w:r>
              <w:t>Voces Unidas por el Agua</w:t>
            </w:r>
          </w:p>
        </w:tc>
      </w:tr>
      <w:tr w:rsidR="008918FD" w:rsidTr="00792A36">
        <w:tc>
          <w:tcPr>
            <w:tcW w:w="4106" w:type="dxa"/>
          </w:tcPr>
          <w:p w:rsidR="00AA2580" w:rsidRDefault="00A86AA3" w:rsidP="00540EFF">
            <w:r>
              <w:t xml:space="preserve">Agua y megaproyectos </w:t>
            </w:r>
          </w:p>
        </w:tc>
        <w:tc>
          <w:tcPr>
            <w:tcW w:w="1843" w:type="dxa"/>
          </w:tcPr>
          <w:p w:rsidR="00AA2580" w:rsidRDefault="00A86AA3" w:rsidP="00540EFF">
            <w:r>
              <w:t>26 de febrero de 2016</w:t>
            </w:r>
          </w:p>
        </w:tc>
        <w:tc>
          <w:tcPr>
            <w:tcW w:w="1481" w:type="dxa"/>
          </w:tcPr>
          <w:p w:rsidR="00AA2580" w:rsidRDefault="00AA2580" w:rsidP="00540EFF"/>
        </w:tc>
        <w:tc>
          <w:tcPr>
            <w:tcW w:w="2440" w:type="dxa"/>
          </w:tcPr>
          <w:p w:rsidR="00AA2580" w:rsidRDefault="00A86AA3" w:rsidP="00540EFF">
            <w:r>
              <w:t>Universidad Autónoma de la Ciudad de México</w:t>
            </w:r>
          </w:p>
        </w:tc>
      </w:tr>
      <w:tr w:rsidR="008918FD" w:rsidTr="00792A36">
        <w:tc>
          <w:tcPr>
            <w:tcW w:w="4106" w:type="dxa"/>
          </w:tcPr>
          <w:p w:rsidR="00A46CB9" w:rsidRDefault="00A46CB9" w:rsidP="00540EFF">
            <w:r>
              <w:t>Agua y Recursos Forestales</w:t>
            </w:r>
          </w:p>
        </w:tc>
        <w:tc>
          <w:tcPr>
            <w:tcW w:w="1843" w:type="dxa"/>
          </w:tcPr>
          <w:p w:rsidR="00A46CB9" w:rsidRDefault="00A46CB9" w:rsidP="00540EFF">
            <w:r>
              <w:t xml:space="preserve">1º de marzo de 2016 </w:t>
            </w:r>
          </w:p>
        </w:tc>
        <w:tc>
          <w:tcPr>
            <w:tcW w:w="1481" w:type="dxa"/>
          </w:tcPr>
          <w:p w:rsidR="00A46CB9" w:rsidRDefault="00A46CB9" w:rsidP="00540EFF">
            <w:r>
              <w:t>Colima, Colima</w:t>
            </w:r>
          </w:p>
        </w:tc>
        <w:tc>
          <w:tcPr>
            <w:tcW w:w="2440" w:type="dxa"/>
          </w:tcPr>
          <w:p w:rsidR="00A46CB9" w:rsidRDefault="00A46CB9" w:rsidP="00540EFF">
            <w:r>
              <w:t>Universidad de Colima</w:t>
            </w:r>
          </w:p>
        </w:tc>
      </w:tr>
      <w:tr w:rsidR="008918FD" w:rsidTr="00792A36">
        <w:tc>
          <w:tcPr>
            <w:tcW w:w="4106" w:type="dxa"/>
          </w:tcPr>
          <w:p w:rsidR="00A46CB9" w:rsidRDefault="00A46CB9" w:rsidP="00540EFF">
            <w:r>
              <w:t>Contaminación de Acuíferos</w:t>
            </w:r>
          </w:p>
          <w:p w:rsidR="00A46CB9" w:rsidRDefault="00A46CB9" w:rsidP="00540EFF"/>
        </w:tc>
        <w:tc>
          <w:tcPr>
            <w:tcW w:w="1843" w:type="dxa"/>
          </w:tcPr>
          <w:p w:rsidR="00A46CB9" w:rsidRDefault="001A6B63" w:rsidP="00540EFF">
            <w:r>
              <w:t>Segunda quincena de febrero de 2016</w:t>
            </w:r>
          </w:p>
        </w:tc>
        <w:tc>
          <w:tcPr>
            <w:tcW w:w="1481" w:type="dxa"/>
          </w:tcPr>
          <w:p w:rsidR="00A46CB9" w:rsidRDefault="008918FD" w:rsidP="00540EFF">
            <w:r>
              <w:t>Mé</w:t>
            </w:r>
            <w:r w:rsidR="00A46CB9">
              <w:t>rida</w:t>
            </w:r>
          </w:p>
        </w:tc>
        <w:tc>
          <w:tcPr>
            <w:tcW w:w="2440" w:type="dxa"/>
          </w:tcPr>
          <w:p w:rsidR="00A46CB9" w:rsidRDefault="00A46CB9" w:rsidP="00540EFF">
            <w:r>
              <w:t>F</w:t>
            </w:r>
            <w:r w:rsidR="00EC5DB3">
              <w:t xml:space="preserve">ondo </w:t>
            </w:r>
            <w:r>
              <w:t>M</w:t>
            </w:r>
            <w:r w:rsidR="00EC5DB3">
              <w:t xml:space="preserve">exicano para la </w:t>
            </w:r>
            <w:r>
              <w:t>C</w:t>
            </w:r>
            <w:r w:rsidR="00EC5DB3">
              <w:t xml:space="preserve">onservación de la </w:t>
            </w:r>
            <w:r>
              <w:t>N</w:t>
            </w:r>
            <w:r w:rsidR="00EC5DB3">
              <w:t>aturaleza</w:t>
            </w:r>
          </w:p>
        </w:tc>
      </w:tr>
      <w:tr w:rsidR="008918FD" w:rsidTr="00792A36">
        <w:tc>
          <w:tcPr>
            <w:tcW w:w="4106" w:type="dxa"/>
          </w:tcPr>
          <w:p w:rsidR="00A46CB9" w:rsidRDefault="00A46CB9" w:rsidP="00540EFF">
            <w:r>
              <w:t>Derecho Hum</w:t>
            </w:r>
            <w:r w:rsidR="00357DBA">
              <w:t>ano al Agua y Restauración Ecoló</w:t>
            </w:r>
            <w:r>
              <w:t>gica</w:t>
            </w:r>
          </w:p>
        </w:tc>
        <w:tc>
          <w:tcPr>
            <w:tcW w:w="1843" w:type="dxa"/>
          </w:tcPr>
          <w:p w:rsidR="00A46CB9" w:rsidRDefault="00A46CB9" w:rsidP="00540EFF">
            <w:r>
              <w:t>Fecha por definir</w:t>
            </w:r>
          </w:p>
        </w:tc>
        <w:tc>
          <w:tcPr>
            <w:tcW w:w="1481" w:type="dxa"/>
          </w:tcPr>
          <w:p w:rsidR="00A46CB9" w:rsidRDefault="00A46CB9" w:rsidP="00540EFF">
            <w:r>
              <w:t>Coatzacoalcos Veracruz</w:t>
            </w:r>
          </w:p>
        </w:tc>
        <w:tc>
          <w:tcPr>
            <w:tcW w:w="2440" w:type="dxa"/>
          </w:tcPr>
          <w:p w:rsidR="00540EFF" w:rsidRDefault="00792A36" w:rsidP="00540EFF">
            <w:r>
              <w:t>U.</w:t>
            </w:r>
            <w:r w:rsidR="00357DBA">
              <w:t xml:space="preserve"> Veracruzana </w:t>
            </w:r>
          </w:p>
          <w:p w:rsidR="00357DBA" w:rsidRDefault="00357DBA" w:rsidP="00540EFF">
            <w:r>
              <w:t>CANACO</w:t>
            </w:r>
          </w:p>
          <w:p w:rsidR="00A46CB9" w:rsidRDefault="00A46CB9" w:rsidP="00792A36">
            <w:r>
              <w:t>Des</w:t>
            </w:r>
            <w:r w:rsidR="00792A36">
              <w:t>.</w:t>
            </w:r>
            <w:r>
              <w:t xml:space="preserve"> Com</w:t>
            </w:r>
            <w:r w:rsidR="00792A36">
              <w:t>.</w:t>
            </w:r>
            <w:r>
              <w:t xml:space="preserve"> de los Tuxtlas</w:t>
            </w:r>
          </w:p>
        </w:tc>
      </w:tr>
      <w:tr w:rsidR="008918FD" w:rsidTr="00792A36">
        <w:tc>
          <w:tcPr>
            <w:tcW w:w="4106" w:type="dxa"/>
          </w:tcPr>
          <w:p w:rsidR="00A46CB9" w:rsidRDefault="00A46CB9" w:rsidP="00540EFF">
            <w:r>
              <w:t>Manejo y monitoreo comunitario del agua en la Región Monarca</w:t>
            </w:r>
          </w:p>
        </w:tc>
        <w:tc>
          <w:tcPr>
            <w:tcW w:w="1843" w:type="dxa"/>
          </w:tcPr>
          <w:p w:rsidR="00A46CB9" w:rsidRDefault="00357DBA" w:rsidP="00540EFF">
            <w:r>
              <w:t>Marzo de 2016</w:t>
            </w:r>
          </w:p>
        </w:tc>
        <w:tc>
          <w:tcPr>
            <w:tcW w:w="1481" w:type="dxa"/>
          </w:tcPr>
          <w:p w:rsidR="00A46CB9" w:rsidRDefault="008918FD" w:rsidP="00540EFF">
            <w:r>
              <w:t>Zitá</w:t>
            </w:r>
            <w:r w:rsidR="00A46CB9">
              <w:t>cuaro Michoacán</w:t>
            </w:r>
          </w:p>
        </w:tc>
        <w:tc>
          <w:tcPr>
            <w:tcW w:w="2440" w:type="dxa"/>
          </w:tcPr>
          <w:p w:rsidR="00357DBA" w:rsidRDefault="00A46CB9" w:rsidP="00540EFF">
            <w:r>
              <w:t xml:space="preserve">UNAM </w:t>
            </w:r>
          </w:p>
          <w:p w:rsidR="00A46CB9" w:rsidRDefault="00A46CB9" w:rsidP="00540EFF">
            <w:r>
              <w:t>Fondo Monarca Biocenosis</w:t>
            </w:r>
          </w:p>
        </w:tc>
      </w:tr>
      <w:tr w:rsidR="008918FD" w:rsidTr="00792A36">
        <w:tc>
          <w:tcPr>
            <w:tcW w:w="4106" w:type="dxa"/>
          </w:tcPr>
          <w:p w:rsidR="00357DBA" w:rsidRDefault="008918FD" w:rsidP="00540EFF">
            <w:r>
              <w:t>Gestión de Cuencas Transfronterizas</w:t>
            </w:r>
          </w:p>
        </w:tc>
        <w:tc>
          <w:tcPr>
            <w:tcW w:w="1843" w:type="dxa"/>
          </w:tcPr>
          <w:p w:rsidR="00357DBA" w:rsidRDefault="008918FD" w:rsidP="00540EFF">
            <w:r>
              <w:t>Fecha por definir</w:t>
            </w:r>
          </w:p>
        </w:tc>
        <w:tc>
          <w:tcPr>
            <w:tcW w:w="1481" w:type="dxa"/>
          </w:tcPr>
          <w:p w:rsidR="00357DBA" w:rsidRDefault="008918FD" w:rsidP="00540EFF">
            <w:r>
              <w:t>San Cristóbal de las Casas</w:t>
            </w:r>
          </w:p>
        </w:tc>
        <w:tc>
          <w:tcPr>
            <w:tcW w:w="2440" w:type="dxa"/>
          </w:tcPr>
          <w:p w:rsidR="00357DBA" w:rsidRDefault="008918FD" w:rsidP="00540EFF">
            <w:r>
              <w:t>Universidad Autónoma de Chiapas</w:t>
            </w:r>
          </w:p>
        </w:tc>
      </w:tr>
      <w:tr w:rsidR="00A77AE5" w:rsidTr="00792A36">
        <w:tc>
          <w:tcPr>
            <w:tcW w:w="4106" w:type="dxa"/>
          </w:tcPr>
          <w:p w:rsidR="00A77AE5" w:rsidRDefault="00A77AE5" w:rsidP="00540EFF">
            <w:r>
              <w:t>Asignación y concesión de aguas nacional</w:t>
            </w:r>
          </w:p>
        </w:tc>
        <w:tc>
          <w:tcPr>
            <w:tcW w:w="1843" w:type="dxa"/>
          </w:tcPr>
          <w:p w:rsidR="00A77AE5" w:rsidRDefault="005B4D7B" w:rsidP="00540EFF">
            <w:r>
              <w:t>Abril de 2016</w:t>
            </w:r>
          </w:p>
        </w:tc>
        <w:tc>
          <w:tcPr>
            <w:tcW w:w="1481" w:type="dxa"/>
          </w:tcPr>
          <w:p w:rsidR="00A77AE5" w:rsidRDefault="005B4D7B" w:rsidP="00540EFF">
            <w:r>
              <w:t>La Paz, Baja California</w:t>
            </w:r>
          </w:p>
        </w:tc>
        <w:tc>
          <w:tcPr>
            <w:tcW w:w="2440" w:type="dxa"/>
          </w:tcPr>
          <w:p w:rsidR="00A77AE5" w:rsidRDefault="00A77AE5" w:rsidP="00540EFF">
            <w:r>
              <w:t>U</w:t>
            </w:r>
            <w:r w:rsidR="005B4D7B">
              <w:t xml:space="preserve">niversidad </w:t>
            </w:r>
            <w:r>
              <w:t>A</w:t>
            </w:r>
            <w:r w:rsidR="005B4D7B">
              <w:t xml:space="preserve">utónoma de </w:t>
            </w:r>
            <w:r>
              <w:t xml:space="preserve"> B</w:t>
            </w:r>
            <w:r w:rsidR="005B4D7B">
              <w:t xml:space="preserve">aja </w:t>
            </w:r>
            <w:r>
              <w:t>C</w:t>
            </w:r>
            <w:r w:rsidR="005B4D7B">
              <w:t xml:space="preserve">alifornia </w:t>
            </w:r>
            <w:r>
              <w:t>S</w:t>
            </w:r>
            <w:r w:rsidR="005B4D7B">
              <w:t>ur</w:t>
            </w:r>
          </w:p>
        </w:tc>
      </w:tr>
      <w:tr w:rsidR="00A77AE5" w:rsidTr="00792A36">
        <w:tc>
          <w:tcPr>
            <w:tcW w:w="4106" w:type="dxa"/>
          </w:tcPr>
          <w:p w:rsidR="00A77AE5" w:rsidRDefault="00A77AE5" w:rsidP="00540EFF">
            <w:r>
              <w:t>Uso agrícola sustentable de aguas subterráneas en zonas de acuíferos sobreexplotados</w:t>
            </w:r>
          </w:p>
        </w:tc>
        <w:tc>
          <w:tcPr>
            <w:tcW w:w="1843" w:type="dxa"/>
          </w:tcPr>
          <w:p w:rsidR="00A77AE5" w:rsidRDefault="005B4D7B" w:rsidP="00540EFF">
            <w:r>
              <w:t>Mayo de 2016</w:t>
            </w:r>
          </w:p>
        </w:tc>
        <w:tc>
          <w:tcPr>
            <w:tcW w:w="1481" w:type="dxa"/>
          </w:tcPr>
          <w:p w:rsidR="00A77AE5" w:rsidRDefault="005B4D7B" w:rsidP="00540EFF">
            <w:r>
              <w:t>Ciudad Juárez</w:t>
            </w:r>
          </w:p>
        </w:tc>
        <w:tc>
          <w:tcPr>
            <w:tcW w:w="2440" w:type="dxa"/>
          </w:tcPr>
          <w:p w:rsidR="00A77AE5" w:rsidRDefault="00A77AE5" w:rsidP="00540EFF">
            <w:r>
              <w:t>U</w:t>
            </w:r>
            <w:r w:rsidR="005B4D7B">
              <w:t xml:space="preserve">niversidad </w:t>
            </w:r>
            <w:r>
              <w:t>A</w:t>
            </w:r>
            <w:r w:rsidR="005B4D7B">
              <w:t xml:space="preserve">utónoma de </w:t>
            </w:r>
            <w:r>
              <w:t xml:space="preserve"> Chihuahua</w:t>
            </w:r>
          </w:p>
        </w:tc>
      </w:tr>
      <w:tr w:rsidR="005B4D7B" w:rsidTr="00792A36">
        <w:tc>
          <w:tcPr>
            <w:tcW w:w="4106" w:type="dxa"/>
          </w:tcPr>
          <w:p w:rsidR="005B4D7B" w:rsidRDefault="005B4D7B" w:rsidP="00540EFF">
            <w:r w:rsidRPr="005B4D7B">
              <w:t>Un nuevo paradigma legal para la gestión del agua</w:t>
            </w:r>
            <w:r w:rsidRPr="005B4D7B">
              <w:tab/>
            </w:r>
          </w:p>
        </w:tc>
        <w:tc>
          <w:tcPr>
            <w:tcW w:w="1843" w:type="dxa"/>
          </w:tcPr>
          <w:p w:rsidR="005B4D7B" w:rsidRDefault="005B4D7B" w:rsidP="00540EFF">
            <w:r>
              <w:t>Mayo de 2016</w:t>
            </w:r>
          </w:p>
        </w:tc>
        <w:tc>
          <w:tcPr>
            <w:tcW w:w="1481" w:type="dxa"/>
          </w:tcPr>
          <w:p w:rsidR="005B4D7B" w:rsidRDefault="005B4D7B" w:rsidP="00540EFF">
            <w:r>
              <w:t>Guadalajara, Jalisco</w:t>
            </w:r>
          </w:p>
        </w:tc>
        <w:tc>
          <w:tcPr>
            <w:tcW w:w="2440" w:type="dxa"/>
          </w:tcPr>
          <w:p w:rsidR="005B4D7B" w:rsidRDefault="005B4D7B" w:rsidP="00540EFF">
            <w:r>
              <w:t>Universidad de Guadalajara</w:t>
            </w:r>
          </w:p>
        </w:tc>
      </w:tr>
    </w:tbl>
    <w:p w:rsidR="009A6222" w:rsidRDefault="009A6222" w:rsidP="00F41386"/>
    <w:p w:rsidR="00540EFF" w:rsidRDefault="00951129" w:rsidP="00F41386">
      <w:r w:rsidRPr="00951129">
        <w:t>El event</w:t>
      </w:r>
      <w:r w:rsidR="00540EFF">
        <w:t>o inicial</w:t>
      </w:r>
      <w:r w:rsidR="00687B61">
        <w:t xml:space="preserve"> </w:t>
      </w:r>
      <w:r w:rsidR="00F41386" w:rsidRPr="00F41386">
        <w:rPr>
          <w:i/>
        </w:rPr>
        <w:t>Retos y Propuestas para cumplir con el derecho humano al agua en las metrópolis</w:t>
      </w:r>
      <w:r w:rsidR="00540EFF">
        <w:t xml:space="preserve">, busca </w:t>
      </w:r>
      <w:r w:rsidR="00F41386" w:rsidRPr="00951129">
        <w:t>aprender de experi</w:t>
      </w:r>
      <w:r w:rsidR="00540EFF">
        <w:t xml:space="preserve">encias desde el </w:t>
      </w:r>
      <w:r w:rsidR="00F41386" w:rsidRPr="00951129">
        <w:t xml:space="preserve"> nivel </w:t>
      </w:r>
      <w:r w:rsidR="00540EFF">
        <w:t xml:space="preserve">local hasta el </w:t>
      </w:r>
      <w:r w:rsidR="00F41386" w:rsidRPr="00951129">
        <w:t xml:space="preserve">internacional, </w:t>
      </w:r>
      <w:r w:rsidR="00540EFF">
        <w:t xml:space="preserve">para </w:t>
      </w:r>
      <w:r w:rsidR="00F41386" w:rsidRPr="00951129">
        <w:t xml:space="preserve">consensar modelos de gestión con participación ciudadana que faciliten el acceso equitativo y sustentable al agua de calidad, tal como exige la reforma al cuarto artículo Constitucional. </w:t>
      </w:r>
      <w:r w:rsidR="009A2299">
        <w:t>Para ello</w:t>
      </w:r>
      <w:r w:rsidR="00540EFF">
        <w:t xml:space="preserve">, el 3 y 4 </w:t>
      </w:r>
      <w:r w:rsidR="009A2299">
        <w:t xml:space="preserve"> </w:t>
      </w:r>
      <w:r w:rsidR="00540EFF">
        <w:t xml:space="preserve">se </w:t>
      </w:r>
      <w:r w:rsidR="009A2299">
        <w:t>abordará</w:t>
      </w:r>
      <w:r w:rsidR="00540EFF">
        <w:t>n</w:t>
      </w:r>
      <w:r w:rsidR="009A2299">
        <w:t>:</w:t>
      </w:r>
    </w:p>
    <w:p w:rsidR="009A2299" w:rsidRPr="009A2299" w:rsidRDefault="009A2299" w:rsidP="009A2299">
      <w:pPr>
        <w:numPr>
          <w:ilvl w:val="0"/>
          <w:numId w:val="3"/>
        </w:numPr>
        <w:spacing w:after="120" w:line="276" w:lineRule="auto"/>
        <w:contextualSpacing/>
        <w:jc w:val="both"/>
        <w:rPr>
          <w:rFonts w:ascii="Calibri" w:eastAsia="Calibri" w:hAnsi="Calibri" w:cs="Times New Roman"/>
        </w:rPr>
      </w:pPr>
      <w:r w:rsidRPr="009A2299">
        <w:rPr>
          <w:rFonts w:ascii="Calibri" w:eastAsia="Calibri" w:hAnsi="Calibri" w:cs="Times New Roman"/>
          <w:b/>
        </w:rPr>
        <w:t xml:space="preserve">Propuestas para garantizar acceso a agua de calidad.  </w:t>
      </w:r>
    </w:p>
    <w:p w:rsidR="009A2299" w:rsidRPr="009A2299" w:rsidRDefault="009A2299" w:rsidP="009A2299">
      <w:pPr>
        <w:numPr>
          <w:ilvl w:val="0"/>
          <w:numId w:val="4"/>
        </w:numPr>
        <w:spacing w:after="120" w:line="276" w:lineRule="auto"/>
        <w:contextualSpacing/>
        <w:jc w:val="both"/>
        <w:rPr>
          <w:rFonts w:ascii="Calibri" w:eastAsia="Calibri" w:hAnsi="Calibri" w:cs="Times New Roman"/>
        </w:rPr>
      </w:pPr>
      <w:r w:rsidRPr="009A2299">
        <w:rPr>
          <w:rFonts w:ascii="Calibri" w:eastAsia="Calibri" w:hAnsi="Calibri" w:cs="Times New Roman"/>
          <w:b/>
        </w:rPr>
        <w:t>Propuestas para garantizar respeto por los derechos de los pueblos originarios</w:t>
      </w:r>
      <w:r>
        <w:rPr>
          <w:rFonts w:ascii="Calibri" w:eastAsia="Calibri" w:hAnsi="Calibri" w:cs="Times New Roman"/>
          <w:b/>
        </w:rPr>
        <w:t>.</w:t>
      </w:r>
      <w:r w:rsidRPr="009A2299">
        <w:rPr>
          <w:rFonts w:ascii="Calibri" w:eastAsia="Calibri" w:hAnsi="Calibri" w:cs="Times New Roman"/>
        </w:rPr>
        <w:t xml:space="preserve"> </w:t>
      </w:r>
      <w:r>
        <w:rPr>
          <w:rFonts w:ascii="Calibri" w:eastAsia="Calibri" w:hAnsi="Calibri" w:cs="Times New Roman"/>
          <w:b/>
          <w:color w:val="FF0000"/>
        </w:rPr>
        <w:t xml:space="preserve"> </w:t>
      </w:r>
    </w:p>
    <w:p w:rsidR="009A2299" w:rsidRPr="009A2299" w:rsidRDefault="009A2299" w:rsidP="009A2299">
      <w:pPr>
        <w:numPr>
          <w:ilvl w:val="0"/>
          <w:numId w:val="4"/>
        </w:numPr>
        <w:spacing w:after="120" w:line="276" w:lineRule="auto"/>
        <w:contextualSpacing/>
        <w:jc w:val="both"/>
        <w:rPr>
          <w:rFonts w:ascii="Calibri" w:eastAsia="Calibri" w:hAnsi="Calibri" w:cs="Times New Roman"/>
        </w:rPr>
      </w:pPr>
      <w:r w:rsidRPr="009A2299">
        <w:rPr>
          <w:rFonts w:ascii="Calibri" w:eastAsia="Calibri" w:hAnsi="Calibri" w:cs="Times New Roman"/>
          <w:b/>
        </w:rPr>
        <w:t>Propuestas para la ciudadanización de la gestión del agua y cuencas.</w:t>
      </w:r>
    </w:p>
    <w:p w:rsidR="009A2299" w:rsidRPr="009A2299" w:rsidRDefault="009A2299" w:rsidP="009A2299">
      <w:pPr>
        <w:numPr>
          <w:ilvl w:val="0"/>
          <w:numId w:val="4"/>
        </w:numPr>
        <w:spacing w:after="120" w:line="276" w:lineRule="auto"/>
        <w:contextualSpacing/>
        <w:jc w:val="both"/>
        <w:rPr>
          <w:rFonts w:ascii="Calibri" w:eastAsia="Calibri" w:hAnsi="Calibri" w:cs="Times New Roman"/>
        </w:rPr>
      </w:pPr>
      <w:r>
        <w:rPr>
          <w:rFonts w:ascii="Calibri" w:eastAsia="Calibri" w:hAnsi="Calibri" w:cs="Times New Roman"/>
          <w:b/>
        </w:rPr>
        <w:t>Al</w:t>
      </w:r>
      <w:r w:rsidR="001A50EB">
        <w:rPr>
          <w:rFonts w:ascii="Calibri" w:eastAsia="Calibri" w:hAnsi="Calibri" w:cs="Times New Roman"/>
          <w:b/>
        </w:rPr>
        <w:t>t</w:t>
      </w:r>
      <w:r>
        <w:rPr>
          <w:rFonts w:ascii="Calibri" w:eastAsia="Calibri" w:hAnsi="Calibri" w:cs="Times New Roman"/>
          <w:b/>
        </w:rPr>
        <w:t>e</w:t>
      </w:r>
      <w:r w:rsidR="001A50EB">
        <w:rPr>
          <w:rFonts w:ascii="Calibri" w:eastAsia="Calibri" w:hAnsi="Calibri" w:cs="Times New Roman"/>
          <w:b/>
        </w:rPr>
        <w:t>rn</w:t>
      </w:r>
      <w:r>
        <w:rPr>
          <w:rFonts w:ascii="Calibri" w:eastAsia="Calibri" w:hAnsi="Calibri" w:cs="Times New Roman"/>
          <w:b/>
        </w:rPr>
        <w:t>a</w:t>
      </w:r>
      <w:r w:rsidR="001A50EB">
        <w:rPr>
          <w:rFonts w:ascii="Calibri" w:eastAsia="Calibri" w:hAnsi="Calibri" w:cs="Times New Roman"/>
          <w:b/>
        </w:rPr>
        <w:t>t</w:t>
      </w:r>
      <w:r>
        <w:rPr>
          <w:rFonts w:ascii="Calibri" w:eastAsia="Calibri" w:hAnsi="Calibri" w:cs="Times New Roman"/>
          <w:b/>
        </w:rPr>
        <w:t>i</w:t>
      </w:r>
      <w:r w:rsidR="001A50EB">
        <w:rPr>
          <w:rFonts w:ascii="Calibri" w:eastAsia="Calibri" w:hAnsi="Calibri" w:cs="Times New Roman"/>
          <w:b/>
        </w:rPr>
        <w:t>v</w:t>
      </w:r>
      <w:r>
        <w:rPr>
          <w:rFonts w:ascii="Calibri" w:eastAsia="Calibri" w:hAnsi="Calibri" w:cs="Times New Roman"/>
          <w:b/>
        </w:rPr>
        <w:t>as a la privatización del agua</w:t>
      </w:r>
    </w:p>
    <w:p w:rsidR="009A2299" w:rsidRPr="009A2299" w:rsidRDefault="009A2299" w:rsidP="009A2299">
      <w:pPr>
        <w:numPr>
          <w:ilvl w:val="0"/>
          <w:numId w:val="4"/>
        </w:numPr>
        <w:spacing w:after="120" w:line="276" w:lineRule="auto"/>
        <w:contextualSpacing/>
        <w:jc w:val="both"/>
        <w:rPr>
          <w:rFonts w:ascii="Calibri" w:eastAsia="Calibri" w:hAnsi="Calibri" w:cs="Times New Roman"/>
        </w:rPr>
      </w:pPr>
      <w:r>
        <w:rPr>
          <w:rFonts w:ascii="Calibri" w:eastAsia="Calibri" w:hAnsi="Calibri" w:cs="Times New Roman"/>
          <w:b/>
        </w:rPr>
        <w:t xml:space="preserve">Propuestas para la Sustentabilidad </w:t>
      </w:r>
    </w:p>
    <w:p w:rsidR="009A2299" w:rsidRPr="009A2299" w:rsidRDefault="009A2299" w:rsidP="009A2299">
      <w:pPr>
        <w:numPr>
          <w:ilvl w:val="0"/>
          <w:numId w:val="4"/>
        </w:numPr>
        <w:spacing w:after="120" w:line="276" w:lineRule="auto"/>
        <w:contextualSpacing/>
        <w:jc w:val="both"/>
        <w:rPr>
          <w:rFonts w:ascii="Calibri" w:eastAsia="Calibri" w:hAnsi="Calibri" w:cs="Times New Roman"/>
        </w:rPr>
      </w:pPr>
      <w:r>
        <w:rPr>
          <w:rFonts w:ascii="Calibri" w:eastAsia="Calibri" w:hAnsi="Calibri" w:cs="Times New Roman"/>
          <w:b/>
        </w:rPr>
        <w:t>Propuestas para el acceso equitativo y sustentable</w:t>
      </w:r>
      <w:r w:rsidRPr="009A2299">
        <w:rPr>
          <w:rFonts w:ascii="Calibri" w:eastAsia="Calibri" w:hAnsi="Calibri" w:cs="Times New Roman"/>
          <w:b/>
        </w:rPr>
        <w:t xml:space="preserve">  </w:t>
      </w:r>
    </w:p>
    <w:p w:rsidR="009A2299" w:rsidRPr="009A2299" w:rsidRDefault="009A2299" w:rsidP="006F1D0E">
      <w:pPr>
        <w:spacing w:after="120" w:line="276" w:lineRule="auto"/>
        <w:contextualSpacing/>
        <w:jc w:val="both"/>
        <w:rPr>
          <w:rFonts w:ascii="Calibri" w:eastAsia="Calibri" w:hAnsi="Calibri" w:cs="Times New Roman"/>
        </w:rPr>
      </w:pPr>
    </w:p>
    <w:sectPr w:rsidR="009A2299" w:rsidRPr="009A22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82606"/>
    <w:multiLevelType w:val="hybridMultilevel"/>
    <w:tmpl w:val="D728A9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E691F3E"/>
    <w:multiLevelType w:val="hybridMultilevel"/>
    <w:tmpl w:val="7980882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42811681"/>
    <w:multiLevelType w:val="hybridMultilevel"/>
    <w:tmpl w:val="C5503B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121C83"/>
    <w:multiLevelType w:val="hybridMultilevel"/>
    <w:tmpl w:val="155EF9D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D0"/>
    <w:rsid w:val="000042DC"/>
    <w:rsid w:val="0001701F"/>
    <w:rsid w:val="00025201"/>
    <w:rsid w:val="000664DC"/>
    <w:rsid w:val="000C5172"/>
    <w:rsid w:val="001331AD"/>
    <w:rsid w:val="0013451B"/>
    <w:rsid w:val="001A50EB"/>
    <w:rsid w:val="001A6B63"/>
    <w:rsid w:val="00214E16"/>
    <w:rsid w:val="00220CB7"/>
    <w:rsid w:val="0022218C"/>
    <w:rsid w:val="00250AD0"/>
    <w:rsid w:val="00334676"/>
    <w:rsid w:val="00357DBA"/>
    <w:rsid w:val="00370B26"/>
    <w:rsid w:val="00390EFA"/>
    <w:rsid w:val="003A062F"/>
    <w:rsid w:val="00486558"/>
    <w:rsid w:val="00493D2B"/>
    <w:rsid w:val="00540EFF"/>
    <w:rsid w:val="00562CA1"/>
    <w:rsid w:val="005724A5"/>
    <w:rsid w:val="00581459"/>
    <w:rsid w:val="005B4D7B"/>
    <w:rsid w:val="005D29FE"/>
    <w:rsid w:val="00661C06"/>
    <w:rsid w:val="0067223B"/>
    <w:rsid w:val="00683FCE"/>
    <w:rsid w:val="00687B61"/>
    <w:rsid w:val="006F1D0E"/>
    <w:rsid w:val="00792A36"/>
    <w:rsid w:val="007A31D0"/>
    <w:rsid w:val="007D666D"/>
    <w:rsid w:val="00803D95"/>
    <w:rsid w:val="0084798E"/>
    <w:rsid w:val="00853C55"/>
    <w:rsid w:val="008918FD"/>
    <w:rsid w:val="00917897"/>
    <w:rsid w:val="00951129"/>
    <w:rsid w:val="00966892"/>
    <w:rsid w:val="00974085"/>
    <w:rsid w:val="00990727"/>
    <w:rsid w:val="009A2299"/>
    <w:rsid w:val="009A6222"/>
    <w:rsid w:val="00A22C52"/>
    <w:rsid w:val="00A46CB9"/>
    <w:rsid w:val="00A77AE5"/>
    <w:rsid w:val="00A86AA3"/>
    <w:rsid w:val="00AA2580"/>
    <w:rsid w:val="00AA77A1"/>
    <w:rsid w:val="00B42E6E"/>
    <w:rsid w:val="00BA2E8D"/>
    <w:rsid w:val="00BD7405"/>
    <w:rsid w:val="00C025BA"/>
    <w:rsid w:val="00C452D5"/>
    <w:rsid w:val="00C84349"/>
    <w:rsid w:val="00CB19F2"/>
    <w:rsid w:val="00CC20B8"/>
    <w:rsid w:val="00D47A3B"/>
    <w:rsid w:val="00D938E1"/>
    <w:rsid w:val="00DB70C7"/>
    <w:rsid w:val="00DC419D"/>
    <w:rsid w:val="00DD5044"/>
    <w:rsid w:val="00DD6AA2"/>
    <w:rsid w:val="00DE6D47"/>
    <w:rsid w:val="00E06F2C"/>
    <w:rsid w:val="00E1277E"/>
    <w:rsid w:val="00E51D99"/>
    <w:rsid w:val="00E70513"/>
    <w:rsid w:val="00EA1092"/>
    <w:rsid w:val="00EB37C8"/>
    <w:rsid w:val="00EC5DB3"/>
    <w:rsid w:val="00F40FFC"/>
    <w:rsid w:val="00F41386"/>
    <w:rsid w:val="00F87757"/>
    <w:rsid w:val="00FA335B"/>
    <w:rsid w:val="00FA6268"/>
    <w:rsid w:val="00FF1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CD27-A887-435E-813A-5E9400DF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798E"/>
    <w:rPr>
      <w:color w:val="0563C1" w:themeColor="hyperlink"/>
      <w:u w:val="single"/>
    </w:rPr>
  </w:style>
  <w:style w:type="table" w:styleId="Tablaconcuadrcula">
    <w:name w:val="Table Grid"/>
    <w:basedOn w:val="Tablanormal"/>
    <w:uiPriority w:val="39"/>
    <w:rsid w:val="00B4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3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Moctezuma</dc:creator>
  <cp:keywords/>
  <dc:description/>
  <cp:lastModifiedBy>Pedro Moctezuma</cp:lastModifiedBy>
  <cp:revision>3</cp:revision>
  <dcterms:created xsi:type="dcterms:W3CDTF">2015-11-03T05:27:00Z</dcterms:created>
  <dcterms:modified xsi:type="dcterms:W3CDTF">2015-11-03T05:31:00Z</dcterms:modified>
</cp:coreProperties>
</file>