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62" w:rsidRPr="00A329A8" w:rsidRDefault="002E6E62" w:rsidP="003C0924">
      <w:pPr>
        <w:spacing w:after="0"/>
        <w:jc w:val="center"/>
        <w:rPr>
          <w:rFonts w:cstheme="minorHAnsi"/>
          <w:b/>
          <w:sz w:val="24"/>
          <w:szCs w:val="24"/>
        </w:rPr>
      </w:pPr>
      <w:r w:rsidRPr="00A329A8">
        <w:rPr>
          <w:rFonts w:cstheme="minorHAnsi"/>
          <w:b/>
          <w:sz w:val="24"/>
          <w:szCs w:val="24"/>
        </w:rPr>
        <w:t>Seguridad Hídrica del</w:t>
      </w:r>
      <w:r w:rsidR="00C72752" w:rsidRPr="00A329A8">
        <w:rPr>
          <w:rFonts w:cstheme="minorHAnsi"/>
          <w:b/>
          <w:sz w:val="24"/>
          <w:szCs w:val="24"/>
        </w:rPr>
        <w:t xml:space="preserve"> </w:t>
      </w:r>
      <w:r w:rsidRPr="00A329A8">
        <w:rPr>
          <w:rFonts w:cstheme="minorHAnsi"/>
          <w:b/>
          <w:sz w:val="24"/>
          <w:szCs w:val="24"/>
        </w:rPr>
        <w:t>Área Metropolitana de Monterrey y la Cuenca del Río Pánuco</w:t>
      </w:r>
    </w:p>
    <w:p w:rsidR="00AF34F9" w:rsidRDefault="00AF34F9" w:rsidP="003C0924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03377B" w:rsidRDefault="00373173" w:rsidP="003C0924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Mensajes Clave</w:t>
      </w:r>
    </w:p>
    <w:p w:rsidR="00373173" w:rsidRDefault="00373173" w:rsidP="003C0924">
      <w:pPr>
        <w:spacing w:after="0"/>
        <w:rPr>
          <w:rFonts w:cstheme="minorHAnsi"/>
        </w:rPr>
      </w:pPr>
    </w:p>
    <w:p w:rsidR="00AF34F9" w:rsidRPr="00A329A8" w:rsidRDefault="00AF34F9" w:rsidP="003C0924">
      <w:pPr>
        <w:spacing w:after="0"/>
        <w:rPr>
          <w:rFonts w:cstheme="minorHAnsi"/>
        </w:rPr>
      </w:pPr>
    </w:p>
    <w:p w:rsidR="00524D92" w:rsidRPr="00A329A8" w:rsidRDefault="00524D92" w:rsidP="002354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329A8">
        <w:rPr>
          <w:rFonts w:cstheme="minorHAnsi"/>
        </w:rPr>
        <w:t>El reporte está enfocado en la seguridad hídrica del Área Metropolitana de M</w:t>
      </w:r>
      <w:r w:rsidR="00373173">
        <w:rPr>
          <w:rFonts w:cstheme="minorHAnsi"/>
        </w:rPr>
        <w:t>onterrey y la cuenca del Pánuco.</w:t>
      </w:r>
      <w:r w:rsidR="002354FC">
        <w:rPr>
          <w:rFonts w:cstheme="minorHAnsi"/>
        </w:rPr>
        <w:t xml:space="preserve"> Se llevó a cabo en función de sus actividades como parte del Fondo de Agua Metropolitano de Monterrey (FAMM).</w:t>
      </w:r>
      <w:r w:rsidR="00DF7DB6">
        <w:rPr>
          <w:rFonts w:cstheme="minorHAnsi"/>
        </w:rPr>
        <w:t xml:space="preserve"> El reporte fue elaborado por The Nature Conservancy, miembro del Comité de Ciencia y Tecnología del FAMM.</w:t>
      </w:r>
    </w:p>
    <w:p w:rsidR="00524D92" w:rsidRPr="00A329A8" w:rsidRDefault="00524D92" w:rsidP="003C0924">
      <w:pPr>
        <w:pStyle w:val="Prrafodelista"/>
        <w:spacing w:after="0" w:line="240" w:lineRule="auto"/>
        <w:ind w:left="360"/>
      </w:pPr>
    </w:p>
    <w:p w:rsidR="00373173" w:rsidRDefault="00373173" w:rsidP="00A26EED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L</w:t>
      </w:r>
      <w:r w:rsidR="00524D92" w:rsidRPr="00A329A8">
        <w:t xml:space="preserve">a primera semana de febrero, </w:t>
      </w:r>
      <w:r>
        <w:t xml:space="preserve">se circuló </w:t>
      </w:r>
      <w:r w:rsidR="00524D92" w:rsidRPr="00A329A8">
        <w:t>una versión preliminar del reporte</w:t>
      </w:r>
      <w:r>
        <w:t xml:space="preserve">a </w:t>
      </w:r>
      <w:r w:rsidR="00524D92" w:rsidRPr="00A329A8">
        <w:t xml:space="preserve">miembros del FAMM, del Servicio de Agua y Drenaje de Monterrey </w:t>
      </w:r>
      <w:r>
        <w:t>(</w:t>
      </w:r>
      <w:r w:rsidR="002354FC">
        <w:t>SADM</w:t>
      </w:r>
      <w:r>
        <w:t>),</w:t>
      </w:r>
      <w:r w:rsidR="00524D92" w:rsidRPr="00A329A8">
        <w:t xml:space="preserve"> de la Secretaría de Medio Ambiente y Recursos Naturales (SEMARNAT) y de la Comisi</w:t>
      </w:r>
      <w:r w:rsidR="00D509A8">
        <w:t>ón Nacional del Agua (Conagua).</w:t>
      </w:r>
      <w:r w:rsidR="00524D92" w:rsidRPr="00A329A8">
        <w:t> </w:t>
      </w:r>
      <w:r>
        <w:t>E</w:t>
      </w:r>
      <w:r w:rsidR="00524D92" w:rsidRPr="00A329A8">
        <w:t xml:space="preserve">l 12 febrero iniciaron formalmente mesas de diálogo con </w:t>
      </w:r>
      <w:r>
        <w:t>AyD</w:t>
      </w:r>
      <w:r w:rsidR="00524D92" w:rsidRPr="00A329A8">
        <w:t xml:space="preserve"> y posteriormente con Conagua y SEMARNAT. </w:t>
      </w:r>
      <w:r>
        <w:t xml:space="preserve"> </w:t>
      </w:r>
      <w:r w:rsidR="00524D92" w:rsidRPr="00A329A8">
        <w:t>Como resultado</w:t>
      </w:r>
      <w:r>
        <w:t xml:space="preserve"> de este diálogo</w:t>
      </w:r>
      <w:r w:rsidR="00524D92" w:rsidRPr="00A329A8">
        <w:t xml:space="preserve">, se ajustaron </w:t>
      </w:r>
      <w:r>
        <w:t xml:space="preserve">algunos </w:t>
      </w:r>
      <w:r w:rsidR="00524D92" w:rsidRPr="00A329A8">
        <w:t xml:space="preserve">datos de la versión preliminar.  Adicionalmente, en conjunto con Conagua y SEMARNAT, se </w:t>
      </w:r>
      <w:r>
        <w:t xml:space="preserve">identificaron errores en </w:t>
      </w:r>
      <w:r w:rsidR="00524D92" w:rsidRPr="00A329A8">
        <w:t xml:space="preserve">los volúmenes y condiciones para </w:t>
      </w:r>
      <w:r w:rsidR="00596408" w:rsidRPr="00A329A8">
        <w:t xml:space="preserve">suspender el bombeo </w:t>
      </w:r>
      <w:r w:rsidR="00524D92" w:rsidRPr="00A329A8">
        <w:t>del acueducto y así proteger los humedales del bajo río Pánuco.</w:t>
      </w:r>
      <w:r>
        <w:t xml:space="preserve">  </w:t>
      </w:r>
    </w:p>
    <w:p w:rsidR="00D509A8" w:rsidRDefault="00D509A8" w:rsidP="00D509A8">
      <w:pPr>
        <w:spacing w:after="0"/>
        <w:jc w:val="both"/>
      </w:pPr>
    </w:p>
    <w:p w:rsidR="00373173" w:rsidRPr="00A329A8" w:rsidRDefault="00D509A8" w:rsidP="002354FC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Dado lo anterior, el </w:t>
      </w:r>
      <w:r w:rsidR="00373173">
        <w:t xml:space="preserve">Monterrey VI </w:t>
      </w:r>
      <w:r>
        <w:t xml:space="preserve">es </w:t>
      </w:r>
      <w:r w:rsidR="004D6E95">
        <w:t xml:space="preserve">en </w:t>
      </w:r>
      <w:r>
        <w:t xml:space="preserve">muchos aspectos inviable si </w:t>
      </w:r>
      <w:r w:rsidR="00373173">
        <w:t xml:space="preserve">no </w:t>
      </w:r>
      <w:r>
        <w:t>cuenta</w:t>
      </w:r>
      <w:r w:rsidR="00373173">
        <w:t xml:space="preserve"> con una visión integral para atender con efectividad los retos de seguridad hídrica de Monterrey y su Área Metropolitana.</w:t>
      </w:r>
    </w:p>
    <w:p w:rsidR="003C0924" w:rsidRDefault="003C0924" w:rsidP="002354FC">
      <w:pPr>
        <w:pStyle w:val="Prrafodelista"/>
        <w:spacing w:after="0" w:line="120" w:lineRule="auto"/>
        <w:jc w:val="both"/>
        <w:rPr>
          <w:rFonts w:cstheme="minorHAnsi"/>
        </w:rPr>
      </w:pPr>
    </w:p>
    <w:p w:rsidR="002354FC" w:rsidRPr="00A329A8" w:rsidRDefault="002354FC" w:rsidP="002354FC">
      <w:pPr>
        <w:pStyle w:val="Prrafodelista"/>
        <w:numPr>
          <w:ilvl w:val="1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N</w:t>
      </w:r>
      <w:r w:rsidRPr="00A329A8">
        <w:rPr>
          <w:rFonts w:cstheme="minorHAnsi"/>
        </w:rPr>
        <w:t xml:space="preserve">o puede ser visto o analizado </w:t>
      </w:r>
      <w:r w:rsidRPr="00A329A8">
        <w:rPr>
          <w:rFonts w:asciiTheme="minorHAnsi" w:hAnsiTheme="minorHAnsi" w:cstheme="minorHAnsi"/>
        </w:rPr>
        <w:t>de forma aislada</w:t>
      </w:r>
      <w:r w:rsidRPr="00A329A8">
        <w:rPr>
          <w:rFonts w:cstheme="minorHAnsi"/>
        </w:rPr>
        <w:t>,</w:t>
      </w:r>
      <w:r w:rsidRPr="00A329A8">
        <w:rPr>
          <w:rFonts w:asciiTheme="minorHAnsi" w:hAnsiTheme="minorHAnsi" w:cstheme="minorHAnsi"/>
        </w:rPr>
        <w:t xml:space="preserve"> </w:t>
      </w:r>
      <w:r w:rsidRPr="00A329A8">
        <w:rPr>
          <w:rFonts w:cstheme="minorHAnsi"/>
        </w:rPr>
        <w:t>ni</w:t>
      </w:r>
      <w:r w:rsidRPr="00A329A8">
        <w:rPr>
          <w:rFonts w:asciiTheme="minorHAnsi" w:hAnsiTheme="minorHAnsi" w:cstheme="minorHAnsi"/>
        </w:rPr>
        <w:t xml:space="preserve"> como </w:t>
      </w:r>
      <w:r w:rsidRPr="00A329A8">
        <w:rPr>
          <w:rFonts w:asciiTheme="minorHAnsi" w:hAnsiTheme="minorHAnsi" w:cstheme="minorHAnsi"/>
          <w:i/>
        </w:rPr>
        <w:t xml:space="preserve">la principal </w:t>
      </w:r>
      <w:r w:rsidRPr="00A329A8">
        <w:rPr>
          <w:rFonts w:cstheme="minorHAnsi"/>
          <w:i/>
        </w:rPr>
        <w:t>o la única opción</w:t>
      </w:r>
      <w:r w:rsidRPr="00A329A8">
        <w:rPr>
          <w:rFonts w:cstheme="minorHAnsi"/>
        </w:rPr>
        <w:t xml:space="preserve"> de </w:t>
      </w:r>
      <w:r w:rsidRPr="00A329A8">
        <w:rPr>
          <w:rFonts w:asciiTheme="minorHAnsi" w:hAnsiTheme="minorHAnsi" w:cstheme="minorHAnsi"/>
        </w:rPr>
        <w:t>abastecimiento</w:t>
      </w:r>
      <w:r w:rsidRPr="00A329A8">
        <w:rPr>
          <w:rFonts w:cstheme="minorHAnsi"/>
        </w:rPr>
        <w:t xml:space="preserve"> de agua.  Los datos duros, la ley y la realidad apuntan a que éste y</w:t>
      </w:r>
      <w:r w:rsidR="00D509A8">
        <w:rPr>
          <w:rFonts w:cstheme="minorHAnsi"/>
        </w:rPr>
        <w:t>/u</w:t>
      </w:r>
      <w:r w:rsidRPr="00A329A8">
        <w:rPr>
          <w:rFonts w:cstheme="minorHAnsi"/>
        </w:rPr>
        <w:t xml:space="preserve"> </w:t>
      </w:r>
      <w:r w:rsidR="004D6E95">
        <w:rPr>
          <w:rFonts w:cstheme="minorHAnsi"/>
        </w:rPr>
        <w:t>cualquier</w:t>
      </w:r>
      <w:r w:rsidRPr="00A329A8">
        <w:rPr>
          <w:rFonts w:cstheme="minorHAnsi"/>
        </w:rPr>
        <w:t xml:space="preserve"> proyectos </w:t>
      </w:r>
      <w:r w:rsidR="004D6E95">
        <w:rPr>
          <w:rFonts w:cstheme="minorHAnsi"/>
        </w:rPr>
        <w:t xml:space="preserve">encaminado a garantizar el abasto de agua en Monterrey, </w:t>
      </w:r>
      <w:r w:rsidRPr="00A329A8">
        <w:rPr>
          <w:rFonts w:cstheme="minorHAnsi"/>
        </w:rPr>
        <w:t>debe formar parte de una política pública</w:t>
      </w:r>
      <w:r>
        <w:rPr>
          <w:rFonts w:cstheme="minorHAnsi"/>
        </w:rPr>
        <w:t xml:space="preserve"> de seguridad hídrica integral.</w:t>
      </w:r>
    </w:p>
    <w:p w:rsidR="002354FC" w:rsidRPr="003C0924" w:rsidRDefault="002354FC" w:rsidP="002354FC">
      <w:pPr>
        <w:spacing w:after="0"/>
        <w:jc w:val="both"/>
        <w:rPr>
          <w:rFonts w:cstheme="minorHAnsi"/>
          <w:color w:val="000000"/>
        </w:rPr>
      </w:pPr>
    </w:p>
    <w:p w:rsidR="00E51499" w:rsidRPr="00AE3E5D" w:rsidRDefault="00D509A8" w:rsidP="00607D8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 estudio final de TNC recomienda</w:t>
      </w:r>
      <w:r w:rsidR="00F90504">
        <w:rPr>
          <w:rFonts w:cstheme="minorHAnsi"/>
        </w:rPr>
        <w:t xml:space="preserve"> tres </w:t>
      </w:r>
      <w:r w:rsidR="002B1CEB" w:rsidRPr="00A329A8">
        <w:rPr>
          <w:rFonts w:asciiTheme="minorHAnsi" w:hAnsiTheme="minorHAnsi" w:cstheme="minorHAnsi"/>
        </w:rPr>
        <w:t>mecanismos</w:t>
      </w:r>
      <w:r w:rsidR="005C3947" w:rsidRPr="00A329A8">
        <w:rPr>
          <w:rFonts w:asciiTheme="minorHAnsi" w:hAnsiTheme="minorHAnsi" w:cstheme="minorHAnsi"/>
        </w:rPr>
        <w:t xml:space="preserve"> </w:t>
      </w:r>
      <w:r w:rsidR="00C72752" w:rsidRPr="00A329A8">
        <w:rPr>
          <w:rFonts w:cstheme="minorHAnsi"/>
        </w:rPr>
        <w:t>par</w:t>
      </w:r>
      <w:r w:rsidR="00606320" w:rsidRPr="00A329A8">
        <w:rPr>
          <w:rFonts w:cstheme="minorHAnsi"/>
        </w:rPr>
        <w:t xml:space="preserve">a fortalecer la </w:t>
      </w:r>
      <w:r w:rsidR="005C3947" w:rsidRPr="00A329A8">
        <w:rPr>
          <w:rFonts w:asciiTheme="minorHAnsi" w:hAnsiTheme="minorHAnsi" w:cstheme="minorHAnsi"/>
        </w:rPr>
        <w:t>seguridad hídrica</w:t>
      </w:r>
      <w:r>
        <w:rPr>
          <w:rFonts w:asciiTheme="minorHAnsi" w:hAnsiTheme="minorHAnsi" w:cstheme="minorHAnsi"/>
        </w:rPr>
        <w:t xml:space="preserve"> de Monterrey</w:t>
      </w:r>
      <w:r w:rsidR="002B1CEB" w:rsidRPr="00A329A8">
        <w:rPr>
          <w:rFonts w:asciiTheme="minorHAnsi" w:hAnsiTheme="minorHAnsi" w:cstheme="minorHAnsi"/>
        </w:rPr>
        <w:t xml:space="preserve">: </w:t>
      </w:r>
      <w:r w:rsidR="00606320" w:rsidRPr="00A329A8">
        <w:rPr>
          <w:rFonts w:cstheme="minorHAnsi"/>
        </w:rPr>
        <w:t xml:space="preserve">(1) </w:t>
      </w:r>
      <w:r w:rsidR="00F90504">
        <w:rPr>
          <w:rFonts w:cstheme="minorHAnsi"/>
        </w:rPr>
        <w:t xml:space="preserve">incentivar el ahorro </w:t>
      </w:r>
      <w:r w:rsidR="002354FC">
        <w:rPr>
          <w:rFonts w:cstheme="minorHAnsi"/>
        </w:rPr>
        <w:t>por</w:t>
      </w:r>
      <w:r w:rsidR="00F90504">
        <w:rPr>
          <w:rFonts w:cstheme="minorHAnsi"/>
        </w:rPr>
        <w:t xml:space="preserve"> consumo</w:t>
      </w:r>
      <w:r w:rsidR="00606320" w:rsidRPr="00A329A8">
        <w:rPr>
          <w:rFonts w:cstheme="minorHAnsi"/>
        </w:rPr>
        <w:t xml:space="preserve">, (2) uso eficiente y sostenible </w:t>
      </w:r>
      <w:r w:rsidR="007129FF" w:rsidRPr="00A329A8">
        <w:rPr>
          <w:rFonts w:cstheme="minorHAnsi"/>
        </w:rPr>
        <w:t>(</w:t>
      </w:r>
      <w:r w:rsidR="0001401C">
        <w:rPr>
          <w:rFonts w:cstheme="minorHAnsi"/>
        </w:rPr>
        <w:t xml:space="preserve">ej. </w:t>
      </w:r>
      <w:r w:rsidR="002B1CEB" w:rsidRPr="00A329A8">
        <w:rPr>
          <w:rFonts w:cstheme="minorHAnsi"/>
        </w:rPr>
        <w:t>el sector agrícola</w:t>
      </w:r>
      <w:r w:rsidR="007129FF" w:rsidRPr="00A329A8">
        <w:rPr>
          <w:rFonts w:cstheme="minorHAnsi"/>
        </w:rPr>
        <w:t>)</w:t>
      </w:r>
      <w:r w:rsidR="00265266" w:rsidRPr="00A329A8">
        <w:rPr>
          <w:rFonts w:cstheme="minorHAnsi"/>
        </w:rPr>
        <w:t>,</w:t>
      </w:r>
      <w:r w:rsidR="002B1CEB" w:rsidRPr="00A329A8">
        <w:rPr>
          <w:rFonts w:cstheme="minorHAnsi"/>
        </w:rPr>
        <w:t xml:space="preserve"> y </w:t>
      </w:r>
      <w:r w:rsidR="00606320" w:rsidRPr="00A329A8">
        <w:rPr>
          <w:rFonts w:cstheme="minorHAnsi"/>
        </w:rPr>
        <w:t xml:space="preserve">(3) </w:t>
      </w:r>
      <w:r w:rsidR="002B1CEB" w:rsidRPr="00A329A8">
        <w:rPr>
          <w:rFonts w:cstheme="minorHAnsi"/>
        </w:rPr>
        <w:t xml:space="preserve">conservación de </w:t>
      </w:r>
      <w:r w:rsidR="00E51499">
        <w:rPr>
          <w:rFonts w:cstheme="minorHAnsi"/>
        </w:rPr>
        <w:t xml:space="preserve">las </w:t>
      </w:r>
      <w:r w:rsidR="002B1CEB" w:rsidRPr="00A329A8">
        <w:rPr>
          <w:rFonts w:cstheme="minorHAnsi"/>
        </w:rPr>
        <w:t xml:space="preserve">fuentes </w:t>
      </w:r>
      <w:r w:rsidR="00E51499">
        <w:rPr>
          <w:rFonts w:cstheme="minorHAnsi"/>
        </w:rPr>
        <w:t>de agua</w:t>
      </w:r>
      <w:r w:rsidR="00F90504">
        <w:rPr>
          <w:rFonts w:cstheme="minorHAnsi"/>
        </w:rPr>
        <w:t xml:space="preserve"> actuales</w:t>
      </w:r>
      <w:r w:rsidR="00607D82">
        <w:rPr>
          <w:rFonts w:cstheme="minorHAnsi"/>
        </w:rPr>
        <w:t xml:space="preserve"> que generarían ahorros de agua de forma muy significativa.</w:t>
      </w:r>
    </w:p>
    <w:p w:rsidR="007E1B43" w:rsidRPr="00A329A8" w:rsidRDefault="007E1B43" w:rsidP="003C0924">
      <w:pPr>
        <w:pStyle w:val="Prrafodelista"/>
        <w:spacing w:after="0" w:line="240" w:lineRule="auto"/>
        <w:ind w:left="1066"/>
        <w:rPr>
          <w:rFonts w:cstheme="minorHAnsi"/>
        </w:rPr>
      </w:pPr>
    </w:p>
    <w:p w:rsidR="00810DC6" w:rsidRPr="00810DC6" w:rsidRDefault="0079296D" w:rsidP="003C09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810DC6">
        <w:rPr>
          <w:rFonts w:asciiTheme="minorHAnsi" w:hAnsiTheme="minorHAnsi" w:cstheme="minorHAnsi"/>
        </w:rPr>
        <w:t xml:space="preserve">os datos </w:t>
      </w:r>
      <w:r>
        <w:rPr>
          <w:rFonts w:asciiTheme="minorHAnsi" w:hAnsiTheme="minorHAnsi" w:cstheme="minorHAnsi"/>
        </w:rPr>
        <w:t xml:space="preserve">indican </w:t>
      </w:r>
      <w:r w:rsidR="00810DC6">
        <w:rPr>
          <w:rFonts w:asciiTheme="minorHAnsi" w:hAnsiTheme="minorHAnsi" w:cstheme="minorHAnsi"/>
        </w:rPr>
        <w:t xml:space="preserve">que la demanda de agua utilizada por AyD para justificar </w:t>
      </w:r>
      <w:r w:rsidR="00D509A8">
        <w:rPr>
          <w:rFonts w:asciiTheme="minorHAnsi" w:hAnsiTheme="minorHAnsi" w:cstheme="minorHAnsi"/>
        </w:rPr>
        <w:t xml:space="preserve">el proyecto </w:t>
      </w:r>
      <w:r w:rsidR="00810DC6">
        <w:rPr>
          <w:rFonts w:asciiTheme="minorHAnsi" w:hAnsiTheme="minorHAnsi" w:cstheme="minorHAnsi"/>
        </w:rPr>
        <w:t>Monterrey VI está sobreestimada de forma muy significativa</w:t>
      </w:r>
      <w:r w:rsidR="00D509A8">
        <w:rPr>
          <w:rFonts w:asciiTheme="minorHAnsi" w:hAnsiTheme="minorHAnsi" w:cstheme="minorHAnsi"/>
        </w:rPr>
        <w:t>,</w:t>
      </w:r>
      <w:r w:rsidR="00810D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aquí es donde se desprenden una </w:t>
      </w:r>
      <w:r w:rsidR="00810DC6">
        <w:rPr>
          <w:rFonts w:asciiTheme="minorHAnsi" w:hAnsiTheme="minorHAnsi" w:cstheme="minorHAnsi"/>
        </w:rPr>
        <w:t xml:space="preserve">necesidad </w:t>
      </w:r>
      <w:r>
        <w:rPr>
          <w:rFonts w:asciiTheme="minorHAnsi" w:hAnsiTheme="minorHAnsi" w:cstheme="minorHAnsi"/>
        </w:rPr>
        <w:t>y urgencia infundadas</w:t>
      </w:r>
      <w:r w:rsidR="00810D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por </w:t>
      </w:r>
      <w:r w:rsidR="00E42B74">
        <w:rPr>
          <w:rFonts w:asciiTheme="minorHAnsi" w:hAnsiTheme="minorHAnsi" w:cstheme="minorHAnsi"/>
        </w:rPr>
        <w:t xml:space="preserve">contar fuentes adicionales de agua. </w:t>
      </w:r>
    </w:p>
    <w:p w:rsidR="003C0924" w:rsidRDefault="003C0924" w:rsidP="002354FC">
      <w:pPr>
        <w:pStyle w:val="Prrafodelista"/>
        <w:spacing w:after="0" w:line="120" w:lineRule="auto"/>
        <w:jc w:val="both"/>
        <w:rPr>
          <w:rFonts w:cstheme="minorHAnsi"/>
        </w:rPr>
      </w:pPr>
    </w:p>
    <w:p w:rsidR="00E51499" w:rsidRPr="00E42B74" w:rsidRDefault="00E42B74" w:rsidP="00E42B74">
      <w:pPr>
        <w:pStyle w:val="Prrafodelista"/>
        <w:numPr>
          <w:ilvl w:val="1"/>
          <w:numId w:val="12"/>
        </w:numPr>
        <w:spacing w:after="0"/>
        <w:ind w:left="72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E</w:t>
      </w:r>
      <w:r w:rsidR="00483EE8">
        <w:rPr>
          <w:rFonts w:cstheme="minorHAnsi"/>
        </w:rPr>
        <w:t>n 2004, la dotación de agua fue de 259</w:t>
      </w:r>
      <w:r w:rsidR="00483EE8" w:rsidRPr="00BD5B0F">
        <w:rPr>
          <w:rFonts w:cstheme="minorHAnsi"/>
        </w:rPr>
        <w:t xml:space="preserve"> lts/habitante/día; en 2014 llegó a 198 lts/habitante/día</w:t>
      </w:r>
      <w:r>
        <w:rPr>
          <w:rFonts w:cstheme="minorHAnsi"/>
        </w:rPr>
        <w:t xml:space="preserve"> (</w:t>
      </w:r>
      <w:r w:rsidRPr="00BD5B0F">
        <w:rPr>
          <w:rFonts w:cstheme="minorHAnsi"/>
        </w:rPr>
        <w:t>incluyendo</w:t>
      </w:r>
      <w:r>
        <w:rPr>
          <w:rFonts w:cstheme="minorHAnsi"/>
        </w:rPr>
        <w:t xml:space="preserve"> en ambos casos</w:t>
      </w:r>
      <w:r w:rsidRPr="00BD5B0F">
        <w:rPr>
          <w:rFonts w:cstheme="minorHAnsi"/>
        </w:rPr>
        <w:t xml:space="preserve"> el agua no contabilizada</w:t>
      </w:r>
      <w:r>
        <w:rPr>
          <w:rFonts w:cstheme="minorHAnsi"/>
        </w:rPr>
        <w:t xml:space="preserve"> de todo el estado)</w:t>
      </w:r>
      <w:r w:rsidR="00483EE8" w:rsidRPr="00BD5B0F">
        <w:rPr>
          <w:rFonts w:cstheme="minorHAnsi"/>
        </w:rPr>
        <w:t xml:space="preserve">. </w:t>
      </w:r>
      <w:r w:rsidR="00B71BC7">
        <w:rPr>
          <w:rFonts w:cstheme="minorHAnsi"/>
        </w:rPr>
        <w:t>Esto en contraste con los 300 lts/habitante/día que utilizó AyD para proyectar la demanda y justificar el proyecto.</w:t>
      </w:r>
      <w:bookmarkStart w:id="0" w:name="_GoBack"/>
      <w:bookmarkEnd w:id="0"/>
    </w:p>
    <w:p w:rsidR="003C0924" w:rsidRPr="00E42B74" w:rsidRDefault="003C0924" w:rsidP="00E42B74">
      <w:pPr>
        <w:tabs>
          <w:tab w:val="left" w:pos="810"/>
        </w:tabs>
        <w:spacing w:after="0" w:line="120" w:lineRule="auto"/>
        <w:jc w:val="both"/>
        <w:rPr>
          <w:rFonts w:cstheme="minorHAnsi"/>
        </w:rPr>
      </w:pPr>
    </w:p>
    <w:p w:rsidR="007D1B69" w:rsidRDefault="0079296D" w:rsidP="003C0924">
      <w:pPr>
        <w:pStyle w:val="Prrafodelista"/>
        <w:numPr>
          <w:ilvl w:val="1"/>
          <w:numId w:val="12"/>
        </w:numPr>
        <w:tabs>
          <w:tab w:val="left" w:pos="810"/>
        </w:tabs>
        <w:spacing w:after="0" w:line="240" w:lineRule="auto"/>
        <w:ind w:left="720"/>
        <w:jc w:val="both"/>
        <w:rPr>
          <w:rFonts w:cstheme="minorHAnsi"/>
        </w:rPr>
      </w:pPr>
      <w:r w:rsidRPr="007D1B69">
        <w:rPr>
          <w:rFonts w:cstheme="minorHAnsi"/>
        </w:rPr>
        <w:t xml:space="preserve">La gestión hídrica en el Área Metropolitana de Monterrey </w:t>
      </w:r>
      <w:r w:rsidR="00D509A8">
        <w:rPr>
          <w:rFonts w:cstheme="minorHAnsi"/>
        </w:rPr>
        <w:t>debe de ser fortalecida</w:t>
      </w:r>
      <w:r w:rsidR="0001401C">
        <w:rPr>
          <w:rFonts w:cstheme="minorHAnsi"/>
        </w:rPr>
        <w:t xml:space="preserve"> </w:t>
      </w:r>
      <w:r w:rsidR="007D1B69" w:rsidRPr="007D1B69">
        <w:rPr>
          <w:rFonts w:cstheme="minorHAnsi"/>
        </w:rPr>
        <w:t xml:space="preserve">con </w:t>
      </w:r>
      <w:r w:rsidR="0001401C">
        <w:rPr>
          <w:rFonts w:cstheme="minorHAnsi"/>
        </w:rPr>
        <w:t>i</w:t>
      </w:r>
      <w:r w:rsidR="007D1B69" w:rsidRPr="007D1B69">
        <w:rPr>
          <w:rFonts w:cstheme="minorHAnsi"/>
        </w:rPr>
        <w:t>ncentivos para aumentar el ahorro en el consumo</w:t>
      </w:r>
      <w:r w:rsidR="0001401C">
        <w:rPr>
          <w:rFonts w:cstheme="minorHAnsi"/>
        </w:rPr>
        <w:t xml:space="preserve"> </w:t>
      </w:r>
      <w:r w:rsidR="00D509A8">
        <w:rPr>
          <w:rFonts w:cstheme="minorHAnsi"/>
        </w:rPr>
        <w:t>de cada sector y especialmente en la agricultura</w:t>
      </w:r>
      <w:r w:rsidR="007D1B69" w:rsidRPr="007D1B69">
        <w:rPr>
          <w:rFonts w:cstheme="minorHAnsi"/>
        </w:rPr>
        <w:t>.</w:t>
      </w:r>
    </w:p>
    <w:p w:rsidR="007D1B69" w:rsidRDefault="007D1B69" w:rsidP="003C0924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257E6D" w:rsidRDefault="007D1B69" w:rsidP="003C092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</w:t>
      </w:r>
      <w:r w:rsidR="00257E6D" w:rsidRPr="007D1B69">
        <w:rPr>
          <w:rFonts w:cstheme="minorHAnsi"/>
        </w:rPr>
        <w:t xml:space="preserve">s </w:t>
      </w:r>
      <w:r>
        <w:rPr>
          <w:rFonts w:cstheme="minorHAnsi"/>
        </w:rPr>
        <w:t>evaluaciones</w:t>
      </w:r>
      <w:r w:rsidR="00257E6D" w:rsidRPr="007D1B69">
        <w:rPr>
          <w:rFonts w:cstheme="minorHAnsi"/>
        </w:rPr>
        <w:t xml:space="preserve"> que presenta AyD omiten costos del proyecto Monterrey VI que </w:t>
      </w:r>
      <w:r>
        <w:rPr>
          <w:rFonts w:cstheme="minorHAnsi"/>
        </w:rPr>
        <w:t xml:space="preserve">se deben </w:t>
      </w:r>
      <w:r w:rsidR="00257E6D" w:rsidRPr="007D1B69">
        <w:rPr>
          <w:rFonts w:cstheme="minorHAnsi"/>
        </w:rPr>
        <w:t>incorporar</w:t>
      </w:r>
      <w:r>
        <w:rPr>
          <w:rFonts w:cstheme="minorHAnsi"/>
        </w:rPr>
        <w:t xml:space="preserve">, los cuales permitirían </w:t>
      </w:r>
      <w:r w:rsidR="00257E6D" w:rsidRPr="007D1B69">
        <w:rPr>
          <w:rFonts w:cstheme="minorHAnsi"/>
        </w:rPr>
        <w:t xml:space="preserve">realizar </w:t>
      </w:r>
      <w:r>
        <w:rPr>
          <w:rFonts w:cstheme="minorHAnsi"/>
        </w:rPr>
        <w:t xml:space="preserve">un </w:t>
      </w:r>
      <w:r w:rsidR="00257E6D" w:rsidRPr="007D1B69">
        <w:rPr>
          <w:rFonts w:cstheme="minorHAnsi"/>
        </w:rPr>
        <w:t xml:space="preserve">análisis </w:t>
      </w:r>
      <w:r>
        <w:rPr>
          <w:rFonts w:cstheme="minorHAnsi"/>
        </w:rPr>
        <w:t xml:space="preserve">más realista </w:t>
      </w:r>
      <w:r w:rsidR="00257E6D" w:rsidRPr="007D1B69">
        <w:rPr>
          <w:rFonts w:cstheme="minorHAnsi"/>
        </w:rPr>
        <w:t xml:space="preserve">de </w:t>
      </w:r>
      <w:r>
        <w:rPr>
          <w:rFonts w:cstheme="minorHAnsi"/>
        </w:rPr>
        <w:t xml:space="preserve">las </w:t>
      </w:r>
      <w:r w:rsidR="00257E6D" w:rsidRPr="007D1B69">
        <w:rPr>
          <w:rFonts w:cstheme="minorHAnsi"/>
        </w:rPr>
        <w:t>alternativas:</w:t>
      </w:r>
    </w:p>
    <w:p w:rsidR="002354FC" w:rsidRDefault="002354FC" w:rsidP="002354FC">
      <w:pPr>
        <w:pStyle w:val="Prrafodelista"/>
        <w:spacing w:after="0" w:line="120" w:lineRule="auto"/>
        <w:jc w:val="both"/>
        <w:rPr>
          <w:rFonts w:cstheme="minorHAnsi"/>
        </w:rPr>
      </w:pPr>
    </w:p>
    <w:p w:rsidR="00E5247E" w:rsidRDefault="00E5247E" w:rsidP="003C0924">
      <w:pPr>
        <w:pStyle w:val="Prrafodelista"/>
        <w:numPr>
          <w:ilvl w:val="1"/>
          <w:numId w:val="12"/>
        </w:num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La información presentada por AyD, </w:t>
      </w:r>
      <w:r w:rsidR="003C0924">
        <w:rPr>
          <w:rFonts w:cstheme="minorHAnsi"/>
        </w:rPr>
        <w:t xml:space="preserve">indica que </w:t>
      </w:r>
      <w:r>
        <w:rPr>
          <w:rFonts w:cstheme="minorHAnsi"/>
        </w:rPr>
        <w:t>Monterrey VI no tiene costos asociados</w:t>
      </w:r>
      <w:r w:rsidR="003C0924">
        <w:rPr>
          <w:rFonts w:cstheme="minorHAnsi"/>
        </w:rPr>
        <w:t xml:space="preserve"> —</w:t>
      </w:r>
      <w:r>
        <w:rPr>
          <w:rFonts w:cstheme="minorHAnsi"/>
        </w:rPr>
        <w:t>en</w:t>
      </w:r>
      <w:r w:rsidR="003C0924">
        <w:rPr>
          <w:rFonts w:cstheme="minorHAnsi"/>
        </w:rPr>
        <w:t xml:space="preserve"> </w:t>
      </w:r>
      <w:r>
        <w:rPr>
          <w:rFonts w:cstheme="minorHAnsi"/>
        </w:rPr>
        <w:t>contraste con las alternativas que ellos presentan</w:t>
      </w:r>
      <w:r w:rsidR="003C0924">
        <w:rPr>
          <w:rFonts w:cstheme="minorHAnsi"/>
        </w:rPr>
        <w:t>—</w:t>
      </w:r>
      <w:r>
        <w:rPr>
          <w:rFonts w:cstheme="minorHAnsi"/>
        </w:rPr>
        <w:t xml:space="preserve"> lo cual es falso.  </w:t>
      </w:r>
      <w:r w:rsidR="008B39EA">
        <w:rPr>
          <w:rFonts w:cstheme="minorHAnsi"/>
        </w:rPr>
        <w:t>Estos</w:t>
      </w:r>
      <w:r>
        <w:rPr>
          <w:rFonts w:cstheme="minorHAnsi"/>
        </w:rPr>
        <w:t xml:space="preserve"> costos deben calcularse nuevamente y con base en ello se debe analizar otra vez las alternativas para identificar cuál es la opción más costo eficiente.</w:t>
      </w:r>
    </w:p>
    <w:p w:rsidR="003C0924" w:rsidRDefault="003C0924" w:rsidP="003C0924">
      <w:pPr>
        <w:pStyle w:val="Prrafodelista"/>
        <w:spacing w:after="0" w:line="240" w:lineRule="auto"/>
        <w:jc w:val="both"/>
        <w:rPr>
          <w:rFonts w:cstheme="minorHAnsi"/>
        </w:rPr>
      </w:pPr>
    </w:p>
    <w:p w:rsidR="006707D2" w:rsidRPr="00AF34F9" w:rsidRDefault="00E5247E" w:rsidP="00AF34F9">
      <w:pPr>
        <w:pStyle w:val="Prrafodelista"/>
        <w:numPr>
          <w:ilvl w:val="1"/>
          <w:numId w:val="12"/>
        </w:num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Se deben incorporar los costos asociados a </w:t>
      </w:r>
      <w:r w:rsidR="003C0924">
        <w:rPr>
          <w:rFonts w:cstheme="minorHAnsi"/>
        </w:rPr>
        <w:t xml:space="preserve">obras adicionales o complementarias para garantizar, por ejemplo, el agua que requiere el proyecto para ser viable, además de </w:t>
      </w:r>
      <w:r w:rsidR="003C0924" w:rsidRPr="006F19EF">
        <w:rPr>
          <w:rFonts w:cstheme="minorHAnsi"/>
        </w:rPr>
        <w:t>medidas de protección, conserv</w:t>
      </w:r>
      <w:r w:rsidR="003C0924">
        <w:rPr>
          <w:rFonts w:cstheme="minorHAnsi"/>
        </w:rPr>
        <w:t>ación y restauración de cuencas; el</w:t>
      </w:r>
      <w:r w:rsidR="003C0924" w:rsidRPr="006F19EF">
        <w:rPr>
          <w:rFonts w:cstheme="minorHAnsi"/>
        </w:rPr>
        <w:t xml:space="preserve"> reconocimiento, cuantificación y pago de servicios ambientales</w:t>
      </w:r>
      <w:r w:rsidR="003C0924">
        <w:rPr>
          <w:rFonts w:cstheme="minorHAnsi"/>
        </w:rPr>
        <w:t>;</w:t>
      </w:r>
      <w:r w:rsidR="003C0924" w:rsidRPr="006F19EF">
        <w:rPr>
          <w:rFonts w:cstheme="minorHAnsi"/>
        </w:rPr>
        <w:t xml:space="preserve"> y</w:t>
      </w:r>
      <w:r w:rsidR="003C0924">
        <w:rPr>
          <w:rFonts w:cstheme="minorHAnsi"/>
        </w:rPr>
        <w:t xml:space="preserve"> </w:t>
      </w:r>
      <w:r w:rsidR="003C0924" w:rsidRPr="006F19EF">
        <w:rPr>
          <w:rFonts w:cstheme="minorHAnsi"/>
        </w:rPr>
        <w:t>medidas de adaptación y mitigación al cambio climático</w:t>
      </w:r>
      <w:r w:rsidR="003C0924">
        <w:rPr>
          <w:rFonts w:cstheme="minorHAnsi"/>
        </w:rPr>
        <w:t xml:space="preserve">, </w:t>
      </w:r>
      <w:r w:rsidR="008B39EA">
        <w:rPr>
          <w:rFonts w:cstheme="minorHAnsi"/>
        </w:rPr>
        <w:t xml:space="preserve">ninguna de </w:t>
      </w:r>
      <w:r w:rsidR="003C0924">
        <w:rPr>
          <w:rFonts w:cstheme="minorHAnsi"/>
        </w:rPr>
        <w:t>las cuales se han contabilizado hasta el momento.</w:t>
      </w:r>
    </w:p>
    <w:p w:rsidR="008B39EA" w:rsidRPr="008B39EA" w:rsidRDefault="008B39EA" w:rsidP="008B39EA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7E6175" w:rsidRDefault="003C0924" w:rsidP="003C0924">
      <w:pPr>
        <w:pStyle w:val="Prrafodelista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lang w:val="es-ES"/>
        </w:rPr>
      </w:pPr>
      <w:r w:rsidRPr="00773AE1">
        <w:rPr>
          <w:rFonts w:cstheme="minorHAnsi"/>
        </w:rPr>
        <w:t xml:space="preserve">Respecto al impacto ambiental de Monterrey VI, a </w:t>
      </w:r>
      <w:r w:rsidR="007E6175" w:rsidRPr="00773AE1">
        <w:rPr>
          <w:rFonts w:asciiTheme="minorHAnsi" w:hAnsiTheme="minorHAnsi" w:cstheme="minorHAnsi"/>
        </w:rPr>
        <w:t>partir de 1999</w:t>
      </w:r>
      <w:r w:rsidR="002354FC" w:rsidRPr="00773AE1">
        <w:rPr>
          <w:rFonts w:asciiTheme="minorHAnsi" w:hAnsiTheme="minorHAnsi" w:cstheme="minorHAnsi"/>
        </w:rPr>
        <w:t>*</w:t>
      </w:r>
      <w:r w:rsidR="007E6175" w:rsidRPr="00773AE1">
        <w:rPr>
          <w:rFonts w:asciiTheme="minorHAnsi" w:hAnsiTheme="minorHAnsi" w:cstheme="minorHAnsi"/>
        </w:rPr>
        <w:t>, el 30% de las aguas disponibles en las cuencas de esta región</w:t>
      </w:r>
      <w:r w:rsidR="007E6175" w:rsidRPr="00773AE1">
        <w:rPr>
          <w:rFonts w:asciiTheme="minorHAnsi" w:hAnsiTheme="minorHAnsi" w:cstheme="minorHAnsi"/>
          <w:i/>
          <w:iCs/>
        </w:rPr>
        <w:t xml:space="preserve"> </w:t>
      </w:r>
      <w:r w:rsidR="007E6175" w:rsidRPr="00773AE1">
        <w:rPr>
          <w:rFonts w:asciiTheme="minorHAnsi" w:hAnsiTheme="minorHAnsi" w:cstheme="minorHAnsi"/>
        </w:rPr>
        <w:t xml:space="preserve">quedaron legalmente reservadas </w:t>
      </w:r>
      <w:r w:rsidR="007E6175" w:rsidRPr="00773AE1">
        <w:rPr>
          <w:rFonts w:asciiTheme="minorHAnsi" w:hAnsiTheme="minorHAnsi" w:cstheme="minorHAnsi"/>
          <w:i/>
          <w:iCs/>
        </w:rPr>
        <w:t>“para garantizar los flujos mínimos que requiera la estabilidad de los cauces, lagos, lagunas, humedales, esteros, así como la protección de ecosistemas acuáticos y sus especies”.</w:t>
      </w:r>
      <w:r w:rsidR="007E6175" w:rsidRPr="00773AE1">
        <w:rPr>
          <w:rFonts w:asciiTheme="minorHAnsi" w:hAnsiTheme="minorHAnsi" w:cstheme="minorHAnsi"/>
          <w:color w:val="000000"/>
        </w:rPr>
        <w:t xml:space="preserve"> Sin </w:t>
      </w:r>
      <w:r w:rsidR="007E6175" w:rsidRPr="00773AE1">
        <w:rPr>
          <w:rFonts w:asciiTheme="minorHAnsi" w:hAnsiTheme="minorHAnsi" w:cstheme="minorHAnsi"/>
          <w:color w:val="000000"/>
        </w:rPr>
        <w:lastRenderedPageBreak/>
        <w:t xml:space="preserve">embargo, el umbral para suspender la operación del acueducto especificado en el Resolutivo en Materia de Impacto Ambiental </w:t>
      </w:r>
      <w:r w:rsidRPr="00773AE1">
        <w:rPr>
          <w:rFonts w:asciiTheme="minorHAnsi" w:hAnsiTheme="minorHAnsi" w:cstheme="minorHAnsi"/>
          <w:color w:val="000000"/>
        </w:rPr>
        <w:t>del proyecto es de</w:t>
      </w:r>
      <w:r w:rsidR="007E6175" w:rsidRPr="00773AE1">
        <w:rPr>
          <w:rFonts w:asciiTheme="minorHAnsi" w:hAnsiTheme="minorHAnsi" w:cstheme="minorHAnsi"/>
          <w:color w:val="000000"/>
        </w:rPr>
        <w:t xml:space="preserve"> 28 </w:t>
      </w:r>
      <w:r w:rsidR="007E6175" w:rsidRPr="00773AE1">
        <w:rPr>
          <w:rFonts w:asciiTheme="minorHAnsi" w:hAnsiTheme="minorHAnsi" w:cstheme="minorHAnsi"/>
        </w:rPr>
        <w:t>m</w:t>
      </w:r>
      <w:r w:rsidR="007E6175" w:rsidRPr="00773AE1">
        <w:rPr>
          <w:rFonts w:asciiTheme="minorHAnsi" w:hAnsiTheme="minorHAnsi" w:cstheme="minorHAnsi"/>
          <w:vertAlign w:val="superscript"/>
        </w:rPr>
        <w:t>3</w:t>
      </w:r>
      <w:r w:rsidR="007E6175" w:rsidRPr="00773AE1">
        <w:rPr>
          <w:rFonts w:asciiTheme="minorHAnsi" w:hAnsiTheme="minorHAnsi" w:cstheme="minorHAnsi"/>
        </w:rPr>
        <w:t>/s</w:t>
      </w:r>
      <w:r w:rsidRPr="00773AE1">
        <w:rPr>
          <w:rFonts w:asciiTheme="minorHAnsi" w:hAnsiTheme="minorHAnsi" w:cstheme="minorHAnsi"/>
        </w:rPr>
        <w:t xml:space="preserve">.  Esto no cumple con lo </w:t>
      </w:r>
      <w:r w:rsidR="002354FC" w:rsidRPr="00773AE1">
        <w:rPr>
          <w:rFonts w:asciiTheme="minorHAnsi" w:hAnsiTheme="minorHAnsi" w:cstheme="minorHAnsi"/>
          <w:lang w:val="es-ES"/>
        </w:rPr>
        <w:t>legalmente establecido.</w:t>
      </w:r>
    </w:p>
    <w:p w:rsidR="002354FC" w:rsidRPr="00773AE1" w:rsidRDefault="002354FC" w:rsidP="002354FC">
      <w:pPr>
        <w:pStyle w:val="Prrafodelista"/>
        <w:spacing w:after="0" w:line="120" w:lineRule="auto"/>
        <w:ind w:left="360"/>
        <w:contextualSpacing w:val="0"/>
        <w:jc w:val="both"/>
        <w:rPr>
          <w:rFonts w:asciiTheme="minorHAnsi" w:hAnsiTheme="minorHAnsi" w:cstheme="minorHAnsi"/>
          <w:lang w:val="es-ES"/>
        </w:rPr>
      </w:pPr>
    </w:p>
    <w:p w:rsidR="002354FC" w:rsidRPr="002354FC" w:rsidRDefault="002354FC" w:rsidP="002354FC">
      <w:pPr>
        <w:spacing w:after="0"/>
        <w:ind w:left="360"/>
        <w:jc w:val="both"/>
        <w:rPr>
          <w:rFonts w:cstheme="minorHAnsi"/>
          <w:i/>
          <w:lang w:val="es-ES"/>
        </w:rPr>
      </w:pPr>
      <w:r w:rsidRPr="00773AE1">
        <w:rPr>
          <w:rFonts w:cstheme="minorHAnsi"/>
          <w:i/>
          <w:lang w:val="es-ES"/>
        </w:rPr>
        <w:t>*</w:t>
      </w:r>
      <w:r w:rsidRPr="00773AE1">
        <w:rPr>
          <w:i/>
          <w:sz w:val="20"/>
          <w:szCs w:val="20"/>
        </w:rPr>
        <w:t xml:space="preserve"> </w:t>
      </w:r>
      <w:r w:rsidRPr="00773AE1">
        <w:rPr>
          <w:rFonts w:cstheme="minorHAnsi"/>
          <w:i/>
          <w:sz w:val="20"/>
          <w:szCs w:val="20"/>
          <w:lang w:val="es-ES"/>
        </w:rPr>
        <w:t>Decreto por el que se suprime parcialmente la veda por tiempo indefinido para el otorgamiento de concesiones y asignaciones para los aprovechamientos de las aguas en las cuencas de los ríos Metztitlán, Moctema, Tempoal, Verde, Santa María, Tampaón, Guayalejo y Tamesí-Chicayán. Diario Oficial de la Federación 26/03/1999.</w:t>
      </w:r>
    </w:p>
    <w:p w:rsidR="002354FC" w:rsidRDefault="002354FC" w:rsidP="002354FC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333845" w:rsidRDefault="00837C35" w:rsidP="007D0465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Además de que el resolutivo de</w:t>
      </w:r>
      <w:r w:rsidR="0084480D">
        <w:rPr>
          <w:rFonts w:cstheme="minorHAnsi"/>
        </w:rPr>
        <w:t xml:space="preserve"> la MIA no cumple con l</w:t>
      </w:r>
      <w:r w:rsidR="005F4249">
        <w:rPr>
          <w:rFonts w:cstheme="minorHAnsi"/>
        </w:rPr>
        <w:t>o establecido en</w:t>
      </w:r>
      <w:r>
        <w:rPr>
          <w:rFonts w:cstheme="minorHAnsi"/>
        </w:rPr>
        <w:t xml:space="preserve"> la</w:t>
      </w:r>
      <w:r w:rsidR="0084480D">
        <w:rPr>
          <w:rFonts w:cstheme="minorHAnsi"/>
        </w:rPr>
        <w:t xml:space="preserve"> Ley, como se explicó en el punto anterior, representa</w:t>
      </w:r>
      <w:r w:rsidR="00333845">
        <w:rPr>
          <w:rFonts w:cstheme="minorHAnsi"/>
        </w:rPr>
        <w:t xml:space="preserve"> un riesgo que AyD debe de considerar, junto con otros que ya hemos mencionado</w:t>
      </w:r>
      <w:r w:rsidR="0084480D">
        <w:rPr>
          <w:rFonts w:cstheme="minorHAnsi"/>
        </w:rPr>
        <w:t xml:space="preserve"> anteriormente</w:t>
      </w:r>
      <w:r w:rsidR="00333845">
        <w:rPr>
          <w:rFonts w:cstheme="minorHAnsi"/>
        </w:rPr>
        <w:t>: la</w:t>
      </w:r>
      <w:r w:rsidR="0084480D">
        <w:rPr>
          <w:rFonts w:cstheme="minorHAnsi"/>
        </w:rPr>
        <w:t>s</w:t>
      </w:r>
      <w:r w:rsidR="00333845">
        <w:rPr>
          <w:rFonts w:cstheme="minorHAnsi"/>
        </w:rPr>
        <w:t xml:space="preserve"> </w:t>
      </w:r>
      <w:r w:rsidR="0084480D">
        <w:rPr>
          <w:rFonts w:cstheme="minorHAnsi"/>
        </w:rPr>
        <w:t>concesio</w:t>
      </w:r>
      <w:r w:rsidR="00333845">
        <w:rPr>
          <w:rFonts w:cstheme="minorHAnsi"/>
        </w:rPr>
        <w:t>n</w:t>
      </w:r>
      <w:r w:rsidR="0084480D">
        <w:rPr>
          <w:rFonts w:cstheme="minorHAnsi"/>
        </w:rPr>
        <w:t>es</w:t>
      </w:r>
      <w:r w:rsidR="00333845">
        <w:rPr>
          <w:rFonts w:cstheme="minorHAnsi"/>
        </w:rPr>
        <w:t xml:space="preserve"> que tienen otros estados para extraer agua de la misma fuente; la disminución en los escurrimientos que se ha presentado en el Pánuco en los últimos años; los impactos relacionados al cambio climático; entre otros.</w:t>
      </w:r>
    </w:p>
    <w:p w:rsidR="00333845" w:rsidRPr="00333845" w:rsidRDefault="00333845" w:rsidP="00333845">
      <w:pPr>
        <w:spacing w:after="0"/>
        <w:jc w:val="both"/>
        <w:rPr>
          <w:rFonts w:cstheme="minorHAnsi"/>
        </w:rPr>
      </w:pPr>
      <w:r w:rsidRPr="00333845">
        <w:rPr>
          <w:rFonts w:cstheme="minorHAnsi"/>
        </w:rPr>
        <w:t xml:space="preserve"> </w:t>
      </w:r>
    </w:p>
    <w:p w:rsidR="007D0465" w:rsidRDefault="007D0465" w:rsidP="007D0465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La única forma de asegurar el abastecimiento de agua </w:t>
      </w:r>
      <w:r w:rsidR="005B70DE">
        <w:rPr>
          <w:rFonts w:cstheme="minorHAnsi"/>
        </w:rPr>
        <w:t>de</w:t>
      </w:r>
      <w:r>
        <w:rPr>
          <w:rFonts w:cstheme="minorHAnsi"/>
        </w:rPr>
        <w:t xml:space="preserve"> Monterrey y su área Metropolitana es a través de una visión integral, sustentable y de largo plazo.</w:t>
      </w:r>
      <w:r w:rsidR="005B70DE">
        <w:rPr>
          <w:rFonts w:cstheme="minorHAnsi"/>
        </w:rPr>
        <w:t xml:space="preserve"> El proyecto Monterrey VI tal y como está integrado carece de estas condiciones. </w:t>
      </w:r>
    </w:p>
    <w:p w:rsidR="005B70DE" w:rsidRDefault="005B70DE" w:rsidP="005B70DE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5F4249" w:rsidRDefault="005F4249" w:rsidP="005B70DE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607D82" w:rsidRPr="007D0465" w:rsidRDefault="00607D82" w:rsidP="005B70DE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:rsidR="00A040A8" w:rsidRDefault="00A040A8" w:rsidP="003C0924">
      <w:pPr>
        <w:spacing w:after="0"/>
        <w:jc w:val="center"/>
        <w:rPr>
          <w:rFonts w:cstheme="minorHAnsi"/>
          <w:lang w:val="es-ES"/>
        </w:rPr>
      </w:pPr>
      <w:r w:rsidRPr="00A329A8">
        <w:rPr>
          <w:rFonts w:cstheme="minorHAnsi"/>
          <w:lang w:val="es-ES"/>
        </w:rPr>
        <w:t>###</w:t>
      </w:r>
    </w:p>
    <w:sectPr w:rsidR="00A040A8" w:rsidSect="007E617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67" w:rsidRDefault="00626667" w:rsidP="00E05EF1">
      <w:pPr>
        <w:spacing w:after="0"/>
      </w:pPr>
      <w:r>
        <w:separator/>
      </w:r>
    </w:p>
  </w:endnote>
  <w:endnote w:type="continuationSeparator" w:id="0">
    <w:p w:rsidR="00626667" w:rsidRDefault="00626667" w:rsidP="00E05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67" w:rsidRDefault="00626667" w:rsidP="00E05EF1">
      <w:pPr>
        <w:spacing w:after="0"/>
      </w:pPr>
      <w:r>
        <w:separator/>
      </w:r>
    </w:p>
  </w:footnote>
  <w:footnote w:type="continuationSeparator" w:id="0">
    <w:p w:rsidR="00626667" w:rsidRDefault="00626667" w:rsidP="00E05E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350"/>
    <w:multiLevelType w:val="hybridMultilevel"/>
    <w:tmpl w:val="C3345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479E2"/>
    <w:multiLevelType w:val="hybridMultilevel"/>
    <w:tmpl w:val="F59884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653"/>
    <w:multiLevelType w:val="hybridMultilevel"/>
    <w:tmpl w:val="39C46704"/>
    <w:lvl w:ilvl="0" w:tplc="027EDF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F39"/>
    <w:multiLevelType w:val="hybridMultilevel"/>
    <w:tmpl w:val="B50E5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05EE1"/>
    <w:multiLevelType w:val="hybridMultilevel"/>
    <w:tmpl w:val="1BE6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E2B"/>
    <w:multiLevelType w:val="hybridMultilevel"/>
    <w:tmpl w:val="8312E90C"/>
    <w:lvl w:ilvl="0" w:tplc="5E4034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7114"/>
    <w:multiLevelType w:val="hybridMultilevel"/>
    <w:tmpl w:val="026A0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76FBC"/>
    <w:multiLevelType w:val="hybridMultilevel"/>
    <w:tmpl w:val="537ACC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78DD"/>
    <w:multiLevelType w:val="hybridMultilevel"/>
    <w:tmpl w:val="21EA5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5B20"/>
    <w:multiLevelType w:val="hybridMultilevel"/>
    <w:tmpl w:val="7D708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25AAB"/>
    <w:multiLevelType w:val="hybridMultilevel"/>
    <w:tmpl w:val="E2EC0E1C"/>
    <w:lvl w:ilvl="0" w:tplc="375C0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F1ED2"/>
    <w:multiLevelType w:val="hybridMultilevel"/>
    <w:tmpl w:val="768677AE"/>
    <w:lvl w:ilvl="0" w:tplc="46C68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23227"/>
    <w:multiLevelType w:val="hybridMultilevel"/>
    <w:tmpl w:val="8CD40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63360B"/>
    <w:multiLevelType w:val="hybridMultilevel"/>
    <w:tmpl w:val="F8101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F236F"/>
    <w:multiLevelType w:val="hybridMultilevel"/>
    <w:tmpl w:val="48DA4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D073E"/>
    <w:multiLevelType w:val="hybridMultilevel"/>
    <w:tmpl w:val="4EB6F4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02F7A"/>
    <w:multiLevelType w:val="hybridMultilevel"/>
    <w:tmpl w:val="C5AE5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5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2"/>
    <w:rsid w:val="0001401C"/>
    <w:rsid w:val="0003377B"/>
    <w:rsid w:val="00074A2A"/>
    <w:rsid w:val="000807A6"/>
    <w:rsid w:val="0009406F"/>
    <w:rsid w:val="000A2DDC"/>
    <w:rsid w:val="000F0417"/>
    <w:rsid w:val="001238CD"/>
    <w:rsid w:val="001479D6"/>
    <w:rsid w:val="00155453"/>
    <w:rsid w:val="0017612C"/>
    <w:rsid w:val="001A6CFA"/>
    <w:rsid w:val="00203CA3"/>
    <w:rsid w:val="0020528C"/>
    <w:rsid w:val="002336EE"/>
    <w:rsid w:val="002354FC"/>
    <w:rsid w:val="00236A44"/>
    <w:rsid w:val="0024417D"/>
    <w:rsid w:val="00252563"/>
    <w:rsid w:val="00257E6D"/>
    <w:rsid w:val="00265266"/>
    <w:rsid w:val="002A6C9F"/>
    <w:rsid w:val="002A7B9F"/>
    <w:rsid w:val="002B1CEB"/>
    <w:rsid w:val="002E6E62"/>
    <w:rsid w:val="00311D94"/>
    <w:rsid w:val="00332E4E"/>
    <w:rsid w:val="00333845"/>
    <w:rsid w:val="00340147"/>
    <w:rsid w:val="00373173"/>
    <w:rsid w:val="003A5A1D"/>
    <w:rsid w:val="003A6496"/>
    <w:rsid w:val="003C0924"/>
    <w:rsid w:val="003C4C17"/>
    <w:rsid w:val="003D3104"/>
    <w:rsid w:val="003E0BA5"/>
    <w:rsid w:val="003F2152"/>
    <w:rsid w:val="00446F78"/>
    <w:rsid w:val="004538A0"/>
    <w:rsid w:val="00483EE8"/>
    <w:rsid w:val="004D184D"/>
    <w:rsid w:val="004D6E95"/>
    <w:rsid w:val="004E2DE3"/>
    <w:rsid w:val="004F1560"/>
    <w:rsid w:val="005037BC"/>
    <w:rsid w:val="00523702"/>
    <w:rsid w:val="00524D92"/>
    <w:rsid w:val="0053104E"/>
    <w:rsid w:val="005602A9"/>
    <w:rsid w:val="005653B0"/>
    <w:rsid w:val="00575762"/>
    <w:rsid w:val="00596408"/>
    <w:rsid w:val="005A11FB"/>
    <w:rsid w:val="005B70DE"/>
    <w:rsid w:val="005C3947"/>
    <w:rsid w:val="005E1C8B"/>
    <w:rsid w:val="005F4249"/>
    <w:rsid w:val="00606320"/>
    <w:rsid w:val="00607D82"/>
    <w:rsid w:val="006239A9"/>
    <w:rsid w:val="00626667"/>
    <w:rsid w:val="00652901"/>
    <w:rsid w:val="006707D2"/>
    <w:rsid w:val="006822D3"/>
    <w:rsid w:val="00682C24"/>
    <w:rsid w:val="00685407"/>
    <w:rsid w:val="00696B7B"/>
    <w:rsid w:val="006A6715"/>
    <w:rsid w:val="006B6BFC"/>
    <w:rsid w:val="006F19EF"/>
    <w:rsid w:val="0070129D"/>
    <w:rsid w:val="007129FF"/>
    <w:rsid w:val="007210C6"/>
    <w:rsid w:val="00753086"/>
    <w:rsid w:val="00767C88"/>
    <w:rsid w:val="00773AE1"/>
    <w:rsid w:val="0079296D"/>
    <w:rsid w:val="007D0465"/>
    <w:rsid w:val="007D16B0"/>
    <w:rsid w:val="007D1B69"/>
    <w:rsid w:val="007E1B43"/>
    <w:rsid w:val="007E1D55"/>
    <w:rsid w:val="007E6175"/>
    <w:rsid w:val="00810DC6"/>
    <w:rsid w:val="00837C35"/>
    <w:rsid w:val="0084480D"/>
    <w:rsid w:val="0086062E"/>
    <w:rsid w:val="00866462"/>
    <w:rsid w:val="008A6389"/>
    <w:rsid w:val="008B39EA"/>
    <w:rsid w:val="008B435C"/>
    <w:rsid w:val="008E5648"/>
    <w:rsid w:val="008F75DB"/>
    <w:rsid w:val="00944C0C"/>
    <w:rsid w:val="009701DC"/>
    <w:rsid w:val="009B426B"/>
    <w:rsid w:val="009C430A"/>
    <w:rsid w:val="00A040A8"/>
    <w:rsid w:val="00A26089"/>
    <w:rsid w:val="00A329A8"/>
    <w:rsid w:val="00A51E86"/>
    <w:rsid w:val="00AC6244"/>
    <w:rsid w:val="00AD1AF6"/>
    <w:rsid w:val="00AE18EF"/>
    <w:rsid w:val="00AE3E5D"/>
    <w:rsid w:val="00AF0799"/>
    <w:rsid w:val="00AF34F9"/>
    <w:rsid w:val="00B01B2A"/>
    <w:rsid w:val="00B26669"/>
    <w:rsid w:val="00B47BF7"/>
    <w:rsid w:val="00B71293"/>
    <w:rsid w:val="00B71BC7"/>
    <w:rsid w:val="00BA5919"/>
    <w:rsid w:val="00BB6A01"/>
    <w:rsid w:val="00BD05BD"/>
    <w:rsid w:val="00BF6CFD"/>
    <w:rsid w:val="00C5244C"/>
    <w:rsid w:val="00C706FE"/>
    <w:rsid w:val="00C72752"/>
    <w:rsid w:val="00CD2226"/>
    <w:rsid w:val="00CF3391"/>
    <w:rsid w:val="00CF7AF5"/>
    <w:rsid w:val="00D05B7B"/>
    <w:rsid w:val="00D25ECD"/>
    <w:rsid w:val="00D4062C"/>
    <w:rsid w:val="00D44B0B"/>
    <w:rsid w:val="00D509A8"/>
    <w:rsid w:val="00D55C62"/>
    <w:rsid w:val="00DB63FD"/>
    <w:rsid w:val="00DC504E"/>
    <w:rsid w:val="00DF1CDF"/>
    <w:rsid w:val="00DF7DB6"/>
    <w:rsid w:val="00E05EF1"/>
    <w:rsid w:val="00E41489"/>
    <w:rsid w:val="00E42B74"/>
    <w:rsid w:val="00E47E50"/>
    <w:rsid w:val="00E51499"/>
    <w:rsid w:val="00E5247E"/>
    <w:rsid w:val="00EB10D7"/>
    <w:rsid w:val="00EC1367"/>
    <w:rsid w:val="00EE0591"/>
    <w:rsid w:val="00F41276"/>
    <w:rsid w:val="00F53814"/>
    <w:rsid w:val="00F679EE"/>
    <w:rsid w:val="00F90504"/>
    <w:rsid w:val="00F92F4C"/>
    <w:rsid w:val="00FB07DE"/>
    <w:rsid w:val="00FB2F1F"/>
    <w:rsid w:val="00FC7F73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3EBF2-5E0E-4E43-9A7A-AADF1BAA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01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E62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F41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notaalpie">
    <w:name w:val="footnote reference"/>
    <w:basedOn w:val="Fuentedeprrafopredeter"/>
    <w:unhideWhenUsed/>
    <w:rsid w:val="00E05EF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C1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3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3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3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3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3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6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0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BFBA-FE3F-44F1-BAB3-7BE22793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Nature Conservancy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Hilda Hesselbach Moreno</dc:creator>
  <cp:lastModifiedBy>Rodrigo Crespo</cp:lastModifiedBy>
  <cp:revision>9</cp:revision>
  <cp:lastPrinted>2015-05-11T20:15:00Z</cp:lastPrinted>
  <dcterms:created xsi:type="dcterms:W3CDTF">2015-05-27T17:54:00Z</dcterms:created>
  <dcterms:modified xsi:type="dcterms:W3CDTF">2015-05-28T17:52:00Z</dcterms:modified>
</cp:coreProperties>
</file>